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D3226F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9375E">
        <w:t>108-e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9375E">
        <w:rPr>
          <w:sz w:val="32"/>
          <w:szCs w:val="32"/>
        </w:rPr>
        <w:t>2201629</w:t>
      </w:r>
    </w:p>
    <w:p w14:paraId="6D0C3DB4" w14:textId="77777777" w:rsidR="00F9375E" w:rsidRPr="006F2D81" w:rsidRDefault="00F9375E" w:rsidP="00F9375E">
      <w:pPr>
        <w:pStyle w:val="3GPPHeader"/>
        <w:rPr>
          <w:lang w:val="en-GB"/>
        </w:rPr>
      </w:pPr>
      <w:r w:rsidRPr="006F2D81">
        <w:t xml:space="preserve">e-Meeting, </w:t>
      </w:r>
      <w:r>
        <w:t>February 21</w:t>
      </w:r>
      <w:r w:rsidRPr="00DB0136">
        <w:rPr>
          <w:vertAlign w:val="superscript"/>
        </w:rPr>
        <w:t>st</w:t>
      </w:r>
      <w:r>
        <w:t>– March 3</w:t>
      </w:r>
      <w:r w:rsidRPr="00DB0136">
        <w:rPr>
          <w:vertAlign w:val="superscript"/>
        </w:rPr>
        <w:t>rd</w:t>
      </w:r>
      <w:proofErr w:type="gramStart"/>
      <w:r>
        <w:t xml:space="preserve"> 2022</w:t>
      </w:r>
      <w:proofErr w:type="gramEnd"/>
    </w:p>
    <w:p w14:paraId="3086AC07" w14:textId="77777777" w:rsidR="00E90E49" w:rsidRPr="00CE0424" w:rsidRDefault="00E90E49" w:rsidP="00357380">
      <w:pPr>
        <w:pStyle w:val="3GPPHeader"/>
      </w:pPr>
    </w:p>
    <w:p w14:paraId="3982483C" w14:textId="4D9B7586" w:rsidR="00E90E49" w:rsidRPr="0097563E" w:rsidRDefault="00E90E49" w:rsidP="00311702">
      <w:pPr>
        <w:pStyle w:val="3GPPHeader"/>
        <w:rPr>
          <w:sz w:val="22"/>
        </w:rPr>
      </w:pPr>
      <w:r w:rsidRPr="0097563E">
        <w:rPr>
          <w:sz w:val="22"/>
        </w:rPr>
        <w:t>Agenda Item:</w:t>
      </w:r>
      <w:r w:rsidRPr="0097563E">
        <w:rPr>
          <w:sz w:val="22"/>
        </w:rPr>
        <w:tab/>
      </w:r>
      <w:r w:rsidR="00F9375E" w:rsidRPr="0097563E">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01B219B" w:rsidR="00E90E49" w:rsidRPr="00CE0424" w:rsidRDefault="003D3C45" w:rsidP="00311702">
      <w:pPr>
        <w:pStyle w:val="3GPPHeader"/>
        <w:rPr>
          <w:sz w:val="22"/>
        </w:rPr>
      </w:pPr>
      <w:r>
        <w:rPr>
          <w:sz w:val="22"/>
        </w:rPr>
        <w:t>Title:</w:t>
      </w:r>
      <w:r w:rsidR="00E90E49" w:rsidRPr="00CE0424">
        <w:rPr>
          <w:sz w:val="22"/>
        </w:rPr>
        <w:tab/>
      </w:r>
      <w:r w:rsidR="00F9375E" w:rsidRPr="00F9375E">
        <w:rPr>
          <w:sz w:val="22"/>
        </w:rPr>
        <w:t>Discussion related to LS on feMIMO RRC parameters</w:t>
      </w:r>
    </w:p>
    <w:p w14:paraId="025260C1" w14:textId="1BE50E38" w:rsidR="00E90E49" w:rsidRPr="00CE0424" w:rsidRDefault="00E90E49" w:rsidP="00D546FF">
      <w:pPr>
        <w:pStyle w:val="3GPPHeader"/>
        <w:rPr>
          <w:sz w:val="22"/>
        </w:rPr>
      </w:pPr>
      <w:r w:rsidRPr="00CE0424">
        <w:rPr>
          <w:sz w:val="22"/>
        </w:rPr>
        <w:t>Document for:</w:t>
      </w:r>
      <w:r w:rsidRPr="00CE0424">
        <w:rPr>
          <w:sz w:val="22"/>
        </w:rPr>
        <w:tab/>
      </w:r>
      <w:r w:rsidRPr="00F9375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6757C86" w14:textId="5AA89E0A" w:rsidR="00F9375E" w:rsidRDefault="00F9375E" w:rsidP="00CE0424">
      <w:pPr>
        <w:pStyle w:val="BodyText"/>
      </w:pPr>
      <w:r>
        <w:t xml:space="preserve">In </w:t>
      </w:r>
      <w:r>
        <w:fldChar w:fldCharType="begin"/>
      </w:r>
      <w:r>
        <w:instrText xml:space="preserve"> REF _Ref95386730 \r \h </w:instrText>
      </w:r>
      <w:r>
        <w:fldChar w:fldCharType="separate"/>
      </w:r>
      <w:r w:rsidR="003E1A20">
        <w:t>[1]</w:t>
      </w:r>
      <w:r>
        <w:fldChar w:fldCharType="end"/>
      </w:r>
      <w:r>
        <w:t xml:space="preserve">, RAN2 sent RAN1 a set of questions related to the RRC parameters for feMIMO. We provide a draft response to these questions in </w:t>
      </w:r>
      <w:r>
        <w:fldChar w:fldCharType="begin"/>
      </w:r>
      <w:r>
        <w:instrText xml:space="preserve"> REF _Ref95477896 \r \h </w:instrText>
      </w:r>
      <w:r>
        <w:fldChar w:fldCharType="separate"/>
      </w:r>
      <w:r w:rsidR="003E1A20">
        <w:t>[2]</w:t>
      </w:r>
      <w:r>
        <w:fldChar w:fldCharType="end"/>
      </w:r>
      <w:r>
        <w:t xml:space="preserve">. </w:t>
      </w:r>
    </w:p>
    <w:p w14:paraId="231E64EA" w14:textId="1E44AEBE" w:rsidR="00477768" w:rsidRPr="00CE0424" w:rsidRDefault="00F9375E" w:rsidP="00CE0424">
      <w:pPr>
        <w:pStyle w:val="BodyText"/>
      </w:pPr>
      <w:r>
        <w:t xml:space="preserve">Several of the questions brought forward by RAN2 require some discussion in RAN1 which would not be needed in the RAN2 reply. </w:t>
      </w:r>
      <w:r w:rsidR="00C324E4">
        <w:t xml:space="preserve">In addition, we have identified issues in </w:t>
      </w:r>
      <w:r>
        <w:t xml:space="preserve">the running CR </w:t>
      </w:r>
      <w:r>
        <w:fldChar w:fldCharType="begin"/>
      </w:r>
      <w:r>
        <w:instrText xml:space="preserve"> REF _Ref95479126 \r \h </w:instrText>
      </w:r>
      <w:r>
        <w:fldChar w:fldCharType="separate"/>
      </w:r>
      <w:r w:rsidR="003E1A20">
        <w:t>[3]</w:t>
      </w:r>
      <w:r>
        <w:fldChar w:fldCharType="end"/>
      </w:r>
      <w:r>
        <w:t xml:space="preserve"> </w:t>
      </w:r>
      <w:r w:rsidR="00C324E4">
        <w:t xml:space="preserve">that were not included in the RAN2 LS. </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6F5AFE79" w:rsidR="00F63950" w:rsidRDefault="00230D18" w:rsidP="00F63950">
      <w:pPr>
        <w:pStyle w:val="Heading2"/>
      </w:pPr>
      <w:r>
        <w:t>2.1</w:t>
      </w:r>
      <w:r>
        <w:tab/>
      </w:r>
      <w:r w:rsidR="00C324E4">
        <w:t>Discussion on selected questions in the RAN2 LS</w:t>
      </w:r>
    </w:p>
    <w:p w14:paraId="76CAFA39" w14:textId="1C64EAE7" w:rsidR="004C2F96" w:rsidRDefault="004C2F96" w:rsidP="004C2F96">
      <w:pPr>
        <w:pStyle w:val="Heading3"/>
      </w:pPr>
      <w:r>
        <w:t>2.1.1</w:t>
      </w:r>
      <w:r>
        <w:tab/>
        <w:t>Question 1.2</w:t>
      </w:r>
    </w:p>
    <w:p w14:paraId="2C8284F8" w14:textId="4245473E" w:rsidR="00C324E4" w:rsidRPr="00C324E4" w:rsidRDefault="00C324E4" w:rsidP="00C324E4">
      <w:pPr>
        <w:pStyle w:val="BodyText"/>
        <w:rPr>
          <w:b/>
          <w:bCs/>
        </w:rPr>
      </w:pPr>
      <w:r w:rsidRPr="360AEA93">
        <w:rPr>
          <w:b/>
          <w:bCs/>
        </w:rPr>
        <w:t>Question 1.2:</w:t>
      </w:r>
      <w:r w:rsidRPr="360AEA93">
        <w:t xml:space="preserve"> Are t</w:t>
      </w:r>
      <w:r w:rsidRPr="00C324E4">
        <w:rPr>
          <w:rStyle w:val="BodyTextChar"/>
        </w:rPr>
        <w:t>h</w:t>
      </w:r>
      <w:r w:rsidRPr="360AEA93">
        <w:t xml:space="preserve">ere any limitation or conditions needs to </w:t>
      </w:r>
      <w:proofErr w:type="gramStart"/>
      <w:r w:rsidRPr="360AEA93">
        <w:t>specified</w:t>
      </w:r>
      <w:proofErr w:type="gramEnd"/>
      <w:r w:rsidRPr="360AEA93">
        <w:t xml:space="preserve"> for the "</w:t>
      </w:r>
      <w:proofErr w:type="spellStart"/>
      <w:r w:rsidRPr="360AEA93">
        <w:rPr>
          <w:i/>
          <w:iCs/>
        </w:rPr>
        <w:t>followUnifiedTCI</w:t>
      </w:r>
      <w:proofErr w:type="spellEnd"/>
      <w:r w:rsidRPr="360AEA93">
        <w:rPr>
          <w:i/>
          <w:iCs/>
        </w:rPr>
        <w:t>-State</w:t>
      </w:r>
      <w:r w:rsidRPr="360AEA93">
        <w:t xml:space="preserve">" parameter? </w:t>
      </w:r>
    </w:p>
    <w:p w14:paraId="44C25C23" w14:textId="77777777" w:rsidR="00C324E4" w:rsidRDefault="00C324E4" w:rsidP="00C324E4">
      <w:pPr>
        <w:pStyle w:val="BodyText"/>
      </w:pPr>
      <w:r w:rsidRPr="00C324E4">
        <w:rPr>
          <w:b/>
          <w:bCs/>
        </w:rPr>
        <w:t>Comment:</w:t>
      </w:r>
      <w:r>
        <w:rPr>
          <w:b/>
          <w:bCs/>
        </w:rPr>
        <w:t xml:space="preserve"> </w:t>
      </w:r>
      <w:r>
        <w:t xml:space="preserve">Strictly speaking, all limitation and conditions have been specified, and the implementation of </w:t>
      </w:r>
      <w:r w:rsidRPr="360AEA93">
        <w:t>"</w:t>
      </w:r>
      <w:proofErr w:type="spellStart"/>
      <w:r w:rsidRPr="360AEA93">
        <w:rPr>
          <w:i/>
          <w:iCs/>
        </w:rPr>
        <w:t>followUnifiedTCI</w:t>
      </w:r>
      <w:proofErr w:type="spellEnd"/>
      <w:r w:rsidRPr="360AEA93">
        <w:rPr>
          <w:i/>
          <w:iCs/>
        </w:rPr>
        <w:t>-State</w:t>
      </w:r>
      <w:r w:rsidRPr="360AEA93">
        <w:t>"</w:t>
      </w:r>
      <w:r>
        <w:t xml:space="preserve"> in the running CR provide the required functionality. There are two details that may be important for the RRC implementation:</w:t>
      </w:r>
    </w:p>
    <w:p w14:paraId="23365B9E" w14:textId="6AC9F072" w:rsidR="00C324E4" w:rsidRDefault="00C324E4" w:rsidP="00C324E4">
      <w:pPr>
        <w:pStyle w:val="BodyText"/>
        <w:numPr>
          <w:ilvl w:val="0"/>
          <w:numId w:val="23"/>
        </w:numPr>
      </w:pPr>
      <w:r>
        <w:t>The RAN1 specifications are using the name “</w:t>
      </w:r>
      <w:proofErr w:type="spellStart"/>
      <w:r w:rsidRPr="00A96B94">
        <w:rPr>
          <w:i/>
          <w:iCs/>
        </w:rPr>
        <w:t>useIndicatedTCI</w:t>
      </w:r>
      <w:proofErr w:type="spellEnd"/>
      <w:r>
        <w:t xml:space="preserve">” for this RRC parameter, which is more inline with how RAN1 has been discussing this feature. </w:t>
      </w:r>
    </w:p>
    <w:p w14:paraId="601A2AF1" w14:textId="22B0E95A" w:rsidR="00C324E4" w:rsidRPr="00C324E4" w:rsidRDefault="00E321E1" w:rsidP="00C324E4">
      <w:pPr>
        <w:pStyle w:val="BodyText"/>
        <w:numPr>
          <w:ilvl w:val="0"/>
          <w:numId w:val="23"/>
        </w:numPr>
      </w:pPr>
      <w:r>
        <w:t>By default, as soon as Rel-17 TCI states are configured, all channels/signals follow the indicated TCI. It would be preferable if the NW would not have to configure additional parameters to achieve the default behaviour.</w:t>
      </w:r>
    </w:p>
    <w:p w14:paraId="10E14ED6" w14:textId="5E0167E3" w:rsidR="00C324E4" w:rsidRPr="00C324E4" w:rsidRDefault="004C2F96" w:rsidP="004C2F96">
      <w:pPr>
        <w:pStyle w:val="Heading3"/>
      </w:pPr>
      <w:r>
        <w:t>2.1.2</w:t>
      </w:r>
      <w:r>
        <w:tab/>
        <w:t>Question 1.3</w:t>
      </w:r>
    </w:p>
    <w:p w14:paraId="0D37C3EC" w14:textId="6937C0EE" w:rsidR="005E27B1" w:rsidRPr="005E27B1" w:rsidRDefault="005E27B1" w:rsidP="005E27B1">
      <w:pPr>
        <w:pStyle w:val="BodyText"/>
        <w:rPr>
          <w:b/>
          <w:bCs/>
        </w:rPr>
      </w:pPr>
      <w:r w:rsidRPr="360AEA93">
        <w:rPr>
          <w:b/>
          <w:bCs/>
        </w:rPr>
        <w:t>Question 1.3:</w:t>
      </w:r>
      <w:r w:rsidRPr="360AEA93">
        <w:t xml:space="preserve"> How are the “DM-RS for non-UE dedicated PDCCH” in parameter "</w:t>
      </w:r>
      <w:r w:rsidRPr="360AEA93">
        <w:rPr>
          <w:i/>
          <w:iCs/>
        </w:rPr>
        <w:t>applyTCI-State-DL-List-r17</w:t>
      </w:r>
      <w:proofErr w:type="gramStart"/>
      <w:r w:rsidRPr="360AEA93">
        <w:rPr>
          <w:i/>
          <w:iCs/>
        </w:rPr>
        <w:t>"</w:t>
      </w:r>
      <w:r w:rsidRPr="360AEA93">
        <w:t xml:space="preserve">  and</w:t>
      </w:r>
      <w:proofErr w:type="gramEnd"/>
      <w:r w:rsidRPr="360AEA93">
        <w:t xml:space="preserve"> the CORESET B “</w:t>
      </w:r>
      <w:proofErr w:type="spellStart"/>
      <w:r w:rsidRPr="360AEA93">
        <w:rPr>
          <w:i/>
          <w:iCs/>
        </w:rPr>
        <w:t>followUnifiedTCI</w:t>
      </w:r>
      <w:proofErr w:type="spellEnd"/>
      <w:r w:rsidRPr="360AEA93">
        <w:rPr>
          <w:i/>
          <w:iCs/>
        </w:rPr>
        <w:t>-State</w:t>
      </w:r>
      <w:r w:rsidRPr="360AEA93">
        <w:t xml:space="preserve">” related? </w:t>
      </w:r>
    </w:p>
    <w:p w14:paraId="1AF15D1B" w14:textId="05619D96" w:rsidR="005E27B1" w:rsidRDefault="005E27B1" w:rsidP="005E27B1">
      <w:pPr>
        <w:pStyle w:val="BodyText"/>
        <w:rPr>
          <w:i/>
          <w:iCs/>
        </w:rPr>
      </w:pPr>
      <w:r w:rsidRPr="005E27B1">
        <w:rPr>
          <w:b/>
          <w:bCs/>
        </w:rPr>
        <w:t xml:space="preserve">Comment: </w:t>
      </w:r>
      <w:r w:rsidRPr="005E27B1">
        <w:t>We do not see that the</w:t>
      </w:r>
      <w:r>
        <w:t xml:space="preserve"> parameter </w:t>
      </w:r>
      <w:r w:rsidRPr="360AEA93">
        <w:t>"</w:t>
      </w:r>
      <w:r w:rsidRPr="360AEA93">
        <w:rPr>
          <w:i/>
          <w:iCs/>
        </w:rPr>
        <w:t>applyTCI-State-DL-List-r17"</w:t>
      </w:r>
      <w:r w:rsidRPr="360AEA93">
        <w:t xml:space="preserve"> </w:t>
      </w:r>
      <w:r>
        <w:t xml:space="preserve">is needed. That parameter was used as a placeholder in the discussion, but it would require that we refer to a list of DL RSs, and the list would be a mix of various RS types. That type of mix of channels/signals currently does not exist in RRC today. Systematic use of </w:t>
      </w:r>
      <w:r w:rsidRPr="360AEA93">
        <w:t>“</w:t>
      </w:r>
      <w:proofErr w:type="spellStart"/>
      <w:r w:rsidRPr="360AEA93">
        <w:rPr>
          <w:i/>
          <w:iCs/>
        </w:rPr>
        <w:t>followUnifiedTCI</w:t>
      </w:r>
      <w:proofErr w:type="spellEnd"/>
      <w:r w:rsidRPr="360AEA93">
        <w:rPr>
          <w:i/>
          <w:iCs/>
        </w:rPr>
        <w:t>-State</w:t>
      </w:r>
      <w:r w:rsidRPr="360AEA93">
        <w:t xml:space="preserve">” </w:t>
      </w:r>
      <w:r>
        <w:t xml:space="preserve">would provide the same functionality and is redundant </w:t>
      </w:r>
      <w:r w:rsidRPr="360AEA93">
        <w:t>"</w:t>
      </w:r>
      <w:r w:rsidRPr="360AEA93">
        <w:rPr>
          <w:i/>
          <w:iCs/>
        </w:rPr>
        <w:t>applyTCI-State-DL-List-r17"</w:t>
      </w:r>
      <w:r>
        <w:rPr>
          <w:i/>
          <w:iCs/>
        </w:rPr>
        <w:t>.</w:t>
      </w:r>
    </w:p>
    <w:p w14:paraId="37437DE7" w14:textId="6DB14DF8" w:rsidR="000840BE" w:rsidRDefault="00E32BE7" w:rsidP="000840BE">
      <w:pPr>
        <w:pStyle w:val="Heading3"/>
      </w:pPr>
      <w:r>
        <w:lastRenderedPageBreak/>
        <w:t>2.1.</w:t>
      </w:r>
      <w:r w:rsidR="00C71597">
        <w:t>3</w:t>
      </w:r>
      <w:r>
        <w:tab/>
      </w:r>
      <w:r w:rsidR="000840BE">
        <w:t>Question 1.7</w:t>
      </w:r>
    </w:p>
    <w:p w14:paraId="76F97A39" w14:textId="104FF52F" w:rsidR="004C2F96" w:rsidRDefault="004C2F96" w:rsidP="004C2F96">
      <w:pPr>
        <w:pStyle w:val="BodyText"/>
      </w:pPr>
      <w:r w:rsidRPr="00FE62B1">
        <w:rPr>
          <w:b/>
          <w:bCs/>
        </w:rPr>
        <w:t xml:space="preserve">Question </w:t>
      </w:r>
      <w:r>
        <w:rPr>
          <w:b/>
          <w:bCs/>
        </w:rPr>
        <w:t>1</w:t>
      </w:r>
      <w:r w:rsidRPr="00FE62B1">
        <w:rPr>
          <w:b/>
          <w:bCs/>
        </w:rPr>
        <w:t>.</w:t>
      </w:r>
      <w:r>
        <w:rPr>
          <w:b/>
          <w:bCs/>
        </w:rPr>
        <w:t xml:space="preserve">7: </w:t>
      </w:r>
      <w:r>
        <w:t xml:space="preserve">Please clarify the structure of the </w:t>
      </w:r>
      <w:proofErr w:type="spellStart"/>
      <w:r w:rsidRPr="008C2659">
        <w:rPr>
          <w:i/>
          <w:iCs/>
        </w:rPr>
        <w:t>mpe-ResourcePool</w:t>
      </w:r>
      <w:proofErr w:type="spellEnd"/>
      <w:r>
        <w:t>: Is it a list of SSB or CSI-RS resources (</w:t>
      </w:r>
      <w:proofErr w:type="gramStart"/>
      <w:r>
        <w:t>i.e.</w:t>
      </w:r>
      <w:proofErr w:type="gramEnd"/>
      <w:r>
        <w:t xml:space="preserve"> SSBRI or CRI), and what is the maximum number of resources configured in the pool?</w:t>
      </w:r>
    </w:p>
    <w:p w14:paraId="667DCBB0" w14:textId="0B4B9680" w:rsidR="000840BE" w:rsidRDefault="000840BE" w:rsidP="004C2F96">
      <w:pPr>
        <w:pStyle w:val="BodyText"/>
      </w:pPr>
      <w:r w:rsidRPr="000840BE">
        <w:rPr>
          <w:b/>
          <w:bCs/>
        </w:rPr>
        <w:t>Comment:</w:t>
      </w:r>
      <w:r>
        <w:t xml:space="preserve"> RAN2 asks if the </w:t>
      </w:r>
      <w:proofErr w:type="spellStart"/>
      <w:r>
        <w:t>mpe-ResourcePool</w:t>
      </w:r>
      <w:proofErr w:type="spellEnd"/>
      <w:r>
        <w:t xml:space="preserve"> is a list of SSBRI or CRI. Clearly, a list of SSBRI/CRI provides the desired functionality</w:t>
      </w:r>
      <w:r w:rsidR="00E32BE7">
        <w:t>, and this is also what RAN2 has captured in the running CR</w:t>
      </w:r>
      <w:r>
        <w:t>. Then, RAN1 made the following agreement:</w:t>
      </w:r>
    </w:p>
    <w:p w14:paraId="6EDC31FF" w14:textId="77777777" w:rsidR="000840BE" w:rsidRPr="001E23C8" w:rsidRDefault="000840BE" w:rsidP="000840BE">
      <w:pPr>
        <w:snapToGrid w:val="0"/>
        <w:spacing w:after="0"/>
        <w:jc w:val="both"/>
        <w:rPr>
          <w:rFonts w:ascii="Times New Roman" w:hAnsi="Times New Roman" w:cs="Times New Roman"/>
          <w:szCs w:val="20"/>
          <w:highlight w:val="green"/>
        </w:rPr>
      </w:pPr>
      <w:r w:rsidRPr="001E23C8">
        <w:rPr>
          <w:rFonts w:ascii="Times New Roman" w:hAnsi="Times New Roman" w:cs="Times New Roman"/>
          <w:b/>
          <w:szCs w:val="20"/>
          <w:highlight w:val="green"/>
        </w:rPr>
        <w:t>Agreement</w:t>
      </w:r>
    </w:p>
    <w:p w14:paraId="43C3536A" w14:textId="7CC70552" w:rsidR="000840BE" w:rsidRPr="000840BE" w:rsidRDefault="000840BE" w:rsidP="000840BE">
      <w:pPr>
        <w:snapToGrid w:val="0"/>
        <w:jc w:val="both"/>
        <w:rPr>
          <w:rFonts w:ascii="Times New Roman" w:hAnsi="Times New Roman" w:cs="Times New Roman"/>
          <w:szCs w:val="20"/>
          <w:lang w:eastAsia="zh-CN"/>
        </w:rPr>
      </w:pPr>
      <w:r w:rsidRPr="001E23C8">
        <w:rPr>
          <w:rFonts w:ascii="Times New Roman" w:hAnsi="Times New Roman" w:cs="Times New Roman"/>
          <w:szCs w:val="20"/>
          <w:lang w:eastAsia="zh-CN"/>
        </w:rPr>
        <w:t xml:space="preserve">On Rel.17 enhancements to facilitate MPE mitigation, the candidate resource pool corresponds to a CSI-RS/SSB resource set configured via RRC (details up to RAN2) </w:t>
      </w:r>
      <w:r w:rsidRPr="001E23C8">
        <w:rPr>
          <w:rFonts w:ascii="Times New Roman" w:hAnsi="Times New Roman" w:cs="Times New Roman"/>
          <w:color w:val="1F497D"/>
          <w:szCs w:val="20"/>
        </w:rPr>
        <w:t>  </w:t>
      </w:r>
    </w:p>
    <w:p w14:paraId="1E6243BF" w14:textId="5AE59CB1" w:rsidR="004C2F96" w:rsidRDefault="000840BE" w:rsidP="004C2F96">
      <w:pPr>
        <w:pStyle w:val="BodyText"/>
      </w:pPr>
      <w:r>
        <w:t xml:space="preserve">In this agreement, there is a mentioning of a “CSI-RS/SSB resource set”. However, it is not clear what a “CSI-RS/SSB resource set” is – </w:t>
      </w:r>
      <w:r w:rsidR="008B6B8E">
        <w:t xml:space="preserve">for instance, </w:t>
      </w:r>
      <w:r>
        <w:t>there is no RRC IE with that name.</w:t>
      </w:r>
      <w:r w:rsidR="00E32BE7">
        <w:t xml:space="preserve"> Hence, what RAN2 </w:t>
      </w:r>
      <w:r w:rsidR="008B6B8E">
        <w:t xml:space="preserve">has implemented </w:t>
      </w:r>
      <w:r w:rsidR="00E32BE7">
        <w:t xml:space="preserve">does not contradict RAN1 agreements, and it provides the desired functionality. </w:t>
      </w:r>
    </w:p>
    <w:p w14:paraId="7A8DA1B9" w14:textId="003EC1E4" w:rsidR="00E32BE7" w:rsidRDefault="00E32BE7" w:rsidP="004C2F96">
      <w:pPr>
        <w:pStyle w:val="BodyText"/>
      </w:pPr>
      <w:r>
        <w:t xml:space="preserve">RAN2 also asks for the maximum length of the list. Although there is currently no agreement, it would seem appropriate to use the same length as for the list candidate beams for beam failure recovery, which is 64. </w:t>
      </w:r>
    </w:p>
    <w:p w14:paraId="08A97CED" w14:textId="64A22EB3" w:rsidR="000840BE" w:rsidRDefault="00E32BE7" w:rsidP="000840BE">
      <w:pPr>
        <w:pStyle w:val="Heading3"/>
      </w:pPr>
      <w:r>
        <w:t>2.1.</w:t>
      </w:r>
      <w:r w:rsidR="00C71597">
        <w:t>4</w:t>
      </w:r>
      <w:r>
        <w:tab/>
      </w:r>
      <w:r w:rsidR="000840BE">
        <w:t>Question 1.8</w:t>
      </w:r>
    </w:p>
    <w:p w14:paraId="4382E79E" w14:textId="714FD318" w:rsidR="004C2F96" w:rsidRDefault="004C2F96" w:rsidP="004C2F96">
      <w:pPr>
        <w:pStyle w:val="BodyText"/>
      </w:pPr>
      <w:r>
        <w:t xml:space="preserve">RAN2 was also not clear on whether the MPE reporting would apply for the mTRP PHR and whether configuration </w:t>
      </w:r>
      <w:r w:rsidRPr="00267F04">
        <w:rPr>
          <w:i/>
          <w:iCs/>
        </w:rPr>
        <w:t xml:space="preserve">mpe-Reporting-FR2 </w:t>
      </w:r>
      <w:r w:rsidRPr="006A6FD8">
        <w:t xml:space="preserve">can apply to both </w:t>
      </w:r>
      <w:r>
        <w:t>BM</w:t>
      </w:r>
      <w:r w:rsidRPr="006A6FD8">
        <w:t xml:space="preserve"> case and</w:t>
      </w:r>
      <w:r>
        <w:t xml:space="preserve"> mTRP case to activate the reporting, so RAN2 would like RAN1 to clarify this.</w:t>
      </w:r>
    </w:p>
    <w:p w14:paraId="0FFC6008" w14:textId="22E30481" w:rsidR="004C2F96" w:rsidRDefault="004C2F96" w:rsidP="004C2F96">
      <w:pPr>
        <w:pStyle w:val="BodyText"/>
      </w:pPr>
      <w:r w:rsidRPr="00FE62B1">
        <w:rPr>
          <w:b/>
          <w:bCs/>
        </w:rPr>
        <w:t xml:space="preserve">Question </w:t>
      </w:r>
      <w:r>
        <w:rPr>
          <w:b/>
          <w:bCs/>
        </w:rPr>
        <w:t>1</w:t>
      </w:r>
      <w:r w:rsidRPr="00FE62B1">
        <w:rPr>
          <w:b/>
          <w:bCs/>
        </w:rPr>
        <w:t>.</w:t>
      </w:r>
      <w:r>
        <w:rPr>
          <w:b/>
          <w:bCs/>
        </w:rPr>
        <w:t xml:space="preserve">8: </w:t>
      </w:r>
      <w:r>
        <w:t>Does</w:t>
      </w:r>
      <w:r w:rsidRPr="00B86E12">
        <w:t xml:space="preserve"> the enhanced MPE reporting applies also to mTRP operation</w:t>
      </w:r>
      <w:r>
        <w:t>,</w:t>
      </w:r>
      <w:r w:rsidRPr="00B86E12">
        <w:t xml:space="preserve"> and</w:t>
      </w:r>
      <w:r>
        <w:t>,</w:t>
      </w:r>
      <w:r w:rsidRPr="00B86E12">
        <w:t xml:space="preserve"> if </w:t>
      </w:r>
      <w:r>
        <w:t xml:space="preserve">it does, will this be configured by </w:t>
      </w:r>
      <w:r w:rsidRPr="00267F04">
        <w:rPr>
          <w:i/>
          <w:iCs/>
        </w:rPr>
        <w:t>mpe-Reporting-FR2</w:t>
      </w:r>
      <w:r>
        <w:t xml:space="preserve"> </w:t>
      </w:r>
      <w:r w:rsidRPr="006A6FD8">
        <w:t xml:space="preserve">or is another RRC </w:t>
      </w:r>
      <w:r>
        <w:t>configuration</w:t>
      </w:r>
      <w:r w:rsidRPr="006A6FD8">
        <w:t xml:space="preserve"> needed</w:t>
      </w:r>
      <w:r>
        <w:t>?</w:t>
      </w:r>
    </w:p>
    <w:p w14:paraId="30F82F78" w14:textId="7453D562" w:rsidR="008B6B8E" w:rsidRDefault="00E32BE7" w:rsidP="004C2F96">
      <w:pPr>
        <w:pStyle w:val="BodyText"/>
      </w:pPr>
      <w:r w:rsidRPr="008B6B8E">
        <w:rPr>
          <w:b/>
          <w:bCs/>
        </w:rPr>
        <w:t>Comment:</w:t>
      </w:r>
      <w:r>
        <w:t xml:space="preserve"> Interestingly enough, two extensions of the PHR have been specified in Rel-17: one in the multi-beam agenda item, and one in the mTRP agenda item. The multi-beam extension targets improved reporting of candidate beams in case the UE would have to reduce </w:t>
      </w:r>
      <w:proofErr w:type="gramStart"/>
      <w:r>
        <w:t>its</w:t>
      </w:r>
      <w:proofErr w:type="gramEnd"/>
      <w:r>
        <w:t xml:space="preserve"> transmit power to comply with regulations. The mTRP extension targets reporting of PHR to two TRPs. </w:t>
      </w:r>
    </w:p>
    <w:p w14:paraId="7F4AD155" w14:textId="7C8801AD" w:rsidR="004C2F96" w:rsidRPr="008B6B8E" w:rsidRDefault="008B6B8E" w:rsidP="004C2F96">
      <w:pPr>
        <w:pStyle w:val="BodyText"/>
      </w:pPr>
      <w:r>
        <w:t>RAN1 has not considered that both types of information can be conveyed in the same PHR: t</w:t>
      </w:r>
      <w:r w:rsidR="00E32BE7">
        <w:t>here is no relation between the two extensions.</w:t>
      </w:r>
    </w:p>
    <w:p w14:paraId="608BC91A" w14:textId="7F840653" w:rsidR="008B6B8E" w:rsidRPr="00100967" w:rsidRDefault="00C71597" w:rsidP="008B6B8E">
      <w:pPr>
        <w:pStyle w:val="Heading3"/>
      </w:pPr>
      <w:r>
        <w:t>2.1.5</w:t>
      </w:r>
      <w:r>
        <w:tab/>
      </w:r>
      <w:r w:rsidR="0056494B">
        <w:t xml:space="preserve">The BAT: </w:t>
      </w:r>
      <w:r w:rsidR="008B6B8E">
        <w:t>Question 1.1</w:t>
      </w:r>
      <w:r w:rsidR="0056494B">
        <w:t>1 and 1.13</w:t>
      </w:r>
    </w:p>
    <w:p w14:paraId="08288AB3" w14:textId="5A4FF3B8" w:rsidR="008B6B8E" w:rsidRDefault="008B6B8E" w:rsidP="008B6B8E">
      <w:pPr>
        <w:pStyle w:val="BodyText"/>
      </w:pPr>
      <w:r>
        <w:t xml:space="preserve">RAN2 has been discussing on what level the BAT parameter should be configured. RAN2 has found guidance for per CCs per </w:t>
      </w:r>
      <w:proofErr w:type="gramStart"/>
      <w:r>
        <w:t>SCS  “</w:t>
      </w:r>
      <w:proofErr w:type="gramEnd"/>
      <w:r w:rsidRPr="00805612">
        <w:t>with the common TCI state ID update</w:t>
      </w:r>
      <w:r>
        <w:t xml:space="preserve">”. However, it is not clear what “common TCI state ID update” means or exactly what is the correct level for configuring the parameter. </w:t>
      </w:r>
    </w:p>
    <w:p w14:paraId="00F1155D" w14:textId="77777777" w:rsidR="0056494B" w:rsidRDefault="0056494B" w:rsidP="0056494B">
      <w:pPr>
        <w:pStyle w:val="BodyText"/>
      </w:pPr>
      <w:r w:rsidRPr="004D22CB">
        <w:rPr>
          <w:b/>
          <w:bCs/>
        </w:rPr>
        <w:t>Question</w:t>
      </w:r>
      <w:r>
        <w:rPr>
          <w:b/>
          <w:bCs/>
        </w:rPr>
        <w:t xml:space="preserve"> </w:t>
      </w:r>
      <w:r w:rsidRPr="004D22CB">
        <w:rPr>
          <w:b/>
          <w:bCs/>
        </w:rPr>
        <w:t>1.1</w:t>
      </w:r>
      <w:r>
        <w:rPr>
          <w:b/>
          <w:bCs/>
        </w:rPr>
        <w:t>1</w:t>
      </w:r>
      <w:r w:rsidRPr="004D22CB">
        <w:rPr>
          <w:b/>
          <w:bCs/>
        </w:rPr>
        <w:t>:</w:t>
      </w:r>
      <w:r w:rsidRPr="004D22CB">
        <w:t xml:space="preserve"> RAN2 would like to further confirm whether this parameter is per-UE (</w:t>
      </w:r>
      <w:proofErr w:type="gramStart"/>
      <w:r w:rsidRPr="004D22CB">
        <w:t>i.e.</w:t>
      </w:r>
      <w:proofErr w:type="gramEnd"/>
      <w:r w:rsidRPr="004D22CB">
        <w:t xml:space="preserve"> applicable to all cell groups per SCS), per cell group (i.e. within the same cell group, all cells use the same values per SCS), per cell (i.e. different cells may use different value per SCS), or something else?</w:t>
      </w:r>
    </w:p>
    <w:p w14:paraId="20AEDEB4" w14:textId="4817CDE3" w:rsidR="008B6B8E" w:rsidRDefault="008B6B8E" w:rsidP="008B6B8E">
      <w:pPr>
        <w:pStyle w:val="BodyText"/>
      </w:pPr>
      <w:r>
        <w:rPr>
          <w:b/>
          <w:bCs/>
        </w:rPr>
        <w:t>Comment</w:t>
      </w:r>
      <w:r>
        <w:t>: RAN1 made the following agreement:</w:t>
      </w:r>
    </w:p>
    <w:p w14:paraId="6FA262D3" w14:textId="77777777" w:rsidR="008B6B8E" w:rsidRPr="00C06323" w:rsidRDefault="008B6B8E" w:rsidP="008B6B8E">
      <w:pPr>
        <w:pStyle w:val="BodyText"/>
        <w:rPr>
          <w:rFonts w:ascii="Times" w:eastAsia="Malgun Gothic" w:hAnsi="Times"/>
          <w:b/>
          <w:szCs w:val="24"/>
        </w:rPr>
      </w:pPr>
      <w:r w:rsidRPr="00C06323">
        <w:rPr>
          <w:rFonts w:ascii="Times" w:eastAsia="Malgun Gothic" w:hAnsi="Times"/>
          <w:b/>
          <w:szCs w:val="24"/>
          <w:highlight w:val="green"/>
        </w:rPr>
        <w:t>Agreement</w:t>
      </w:r>
    </w:p>
    <w:p w14:paraId="43B624C6" w14:textId="77777777" w:rsidR="008B6B8E" w:rsidRPr="00C06323" w:rsidRDefault="008B6B8E" w:rsidP="008B6B8E">
      <w:pPr>
        <w:pStyle w:val="BodyText"/>
        <w:rPr>
          <w:rFonts w:ascii="Times" w:eastAsia="Malgun Gothic" w:hAnsi="Times"/>
          <w:szCs w:val="24"/>
        </w:rPr>
      </w:pPr>
      <w:r w:rsidRPr="00C06323">
        <w:rPr>
          <w:rFonts w:ascii="Times" w:eastAsia="Malgun Gothic" w:hAnsi="Times"/>
          <w:szCs w:val="24"/>
        </w:rPr>
        <w:t>On Rel-17 DCI-based beam indication, regarding application time of the beam indication, the UE can assume that one beam application time (BAT) for a given SCS is configured for all the CCs configured with the common TCI state ID update,</w:t>
      </w:r>
    </w:p>
    <w:p w14:paraId="1249C3EC" w14:textId="472510F6" w:rsidR="008B6B8E" w:rsidRDefault="008B6B8E" w:rsidP="008B6B8E">
      <w:pPr>
        <w:pStyle w:val="BodyText"/>
      </w:pPr>
      <w:r>
        <w:t>RAN1 has still not agreed which CCs are configured with common TCI state ID update</w:t>
      </w:r>
      <w:r w:rsidR="00703E70">
        <w:t xml:space="preserve">. A reasonable solution is to define </w:t>
      </w:r>
      <w:r>
        <w:t>two new CCs lis</w:t>
      </w:r>
      <w:r w:rsidR="00703E70">
        <w:t xml:space="preserve">t, </w:t>
      </w:r>
      <w:proofErr w:type="gramStart"/>
      <w:r w:rsidR="00703E70">
        <w:t>similar to</w:t>
      </w:r>
      <w:proofErr w:type="gramEnd"/>
      <w:r w:rsidR="00703E70" w:rsidRPr="00703E70">
        <w:rPr>
          <w:i/>
          <w:iCs/>
        </w:rPr>
        <w:t xml:space="preserve"> simultaneousTCI-UpdateList1</w:t>
      </w:r>
      <w:r w:rsidR="00703E70">
        <w:rPr>
          <w:i/>
          <w:iCs/>
        </w:rPr>
        <w:t>-r16</w:t>
      </w:r>
      <w:r w:rsidR="00703E70" w:rsidRPr="00703E70">
        <w:t xml:space="preserve"> and</w:t>
      </w:r>
      <w:r w:rsidR="00703E70" w:rsidRPr="00703E70">
        <w:rPr>
          <w:i/>
          <w:iCs/>
        </w:rPr>
        <w:t xml:space="preserve"> simultaneousTCI-UpdateList2</w:t>
      </w:r>
      <w:r w:rsidR="00703E70">
        <w:rPr>
          <w:i/>
          <w:iCs/>
        </w:rPr>
        <w:t xml:space="preserve">-r16. </w:t>
      </w:r>
      <w:r w:rsidR="00703E70">
        <w:t xml:space="preserve">Here we note that RAN2 has defined </w:t>
      </w:r>
      <w:r w:rsidR="00703E70" w:rsidRPr="00703E70">
        <w:rPr>
          <w:i/>
          <w:iCs/>
        </w:rPr>
        <w:t>beamAppTime-r17</w:t>
      </w:r>
      <w:r w:rsidR="00703E70">
        <w:t xml:space="preserve"> in PDSCH-Config, which means that it is configured “per SCS”. </w:t>
      </w:r>
    </w:p>
    <w:p w14:paraId="1FF91210" w14:textId="3DA05B49" w:rsidR="0056494B" w:rsidRPr="0056494B" w:rsidRDefault="00703E70" w:rsidP="008B6B8E">
      <w:pPr>
        <w:pStyle w:val="BodyText"/>
      </w:pPr>
      <w:r>
        <w:t>To ensure that the beam is updated at the same time on all CCs that are configured with common TCI state ID update, the</w:t>
      </w:r>
      <w:r w:rsidR="0056494B">
        <w:t>re will be restrictions on how</w:t>
      </w:r>
      <w:r>
        <w:t xml:space="preserve"> </w:t>
      </w:r>
      <w:r w:rsidRPr="00703E70">
        <w:rPr>
          <w:i/>
          <w:iCs/>
        </w:rPr>
        <w:t>beamAppTime-r17</w:t>
      </w:r>
      <w:r>
        <w:rPr>
          <w:i/>
          <w:iCs/>
        </w:rPr>
        <w:t xml:space="preserve"> </w:t>
      </w:r>
      <w:r w:rsidR="0056494B" w:rsidRPr="0056494B">
        <w:t>is configured</w:t>
      </w:r>
      <w:r w:rsidR="0056494B">
        <w:rPr>
          <w:i/>
          <w:iCs/>
        </w:rPr>
        <w:t xml:space="preserve"> </w:t>
      </w:r>
      <w:r>
        <w:t>in different CCs (in PDSCH-Configs in difference serving cells)</w:t>
      </w:r>
      <w:r w:rsidR="0056494B">
        <w:t xml:space="preserve">. Preferably, this restriction is captured in 38.331. </w:t>
      </w:r>
    </w:p>
    <w:p w14:paraId="5A3C3831" w14:textId="77777777" w:rsidR="008B6B8E" w:rsidRDefault="008B6B8E" w:rsidP="0056494B">
      <w:pPr>
        <w:pStyle w:val="BodyText"/>
        <w:rPr>
          <w:i/>
          <w:iCs/>
        </w:rPr>
      </w:pPr>
      <w:r w:rsidRPr="007A5666">
        <w:rPr>
          <w:b/>
          <w:bCs/>
        </w:rPr>
        <w:lastRenderedPageBreak/>
        <w:t>Question 1.</w:t>
      </w:r>
      <w:r>
        <w:rPr>
          <w:b/>
          <w:bCs/>
        </w:rPr>
        <w:t>13</w:t>
      </w:r>
      <w:r w:rsidRPr="007A5666">
        <w:rPr>
          <w:b/>
          <w:bCs/>
        </w:rPr>
        <w:t>:</w:t>
      </w:r>
      <w:r>
        <w:t xml:space="preserve"> Please indicate what should be the value range for parameter </w:t>
      </w:r>
      <w:r w:rsidRPr="006746F2">
        <w:rPr>
          <w:i/>
          <w:iCs/>
        </w:rPr>
        <w:t>beamAppTime-r17</w:t>
      </w:r>
      <w:r>
        <w:rPr>
          <w:i/>
          <w:iCs/>
        </w:rPr>
        <w:t>?</w:t>
      </w:r>
    </w:p>
    <w:p w14:paraId="18AF241E" w14:textId="6B205456" w:rsidR="008B6B8E" w:rsidRDefault="0056494B" w:rsidP="004C2F96">
      <w:pPr>
        <w:pStyle w:val="BodyText"/>
      </w:pPr>
      <w:r>
        <w:rPr>
          <w:b/>
          <w:bCs/>
        </w:rPr>
        <w:t xml:space="preserve">Comment: </w:t>
      </w:r>
      <w:r w:rsidRPr="0056494B">
        <w:t>Ideally</w:t>
      </w:r>
      <w:r>
        <w:t xml:space="preserve">, the beam application time should be short. However, RAN1 has designed an acknowledgment so that the NW knows that the beam indication was successfully received at the UE. If the NW receives the acknowledgment, both the NW and the UE will switch beams at the configured </w:t>
      </w:r>
      <w:r w:rsidR="00C71597">
        <w:t xml:space="preserve">time. </w:t>
      </w:r>
      <w:r>
        <w:t xml:space="preserve">Of course, it may </w:t>
      </w:r>
      <w:r w:rsidR="00C71597">
        <w:t xml:space="preserve">also </w:t>
      </w:r>
      <w:r>
        <w:t xml:space="preserve">happen that the acknowledgment does not reach the NW. In this case, there are two </w:t>
      </w:r>
      <w:r w:rsidR="00C71597">
        <w:t>possibilities</w:t>
      </w:r>
      <w:r>
        <w:t>:</w:t>
      </w:r>
    </w:p>
    <w:p w14:paraId="2D645A40" w14:textId="1CCC0802" w:rsidR="0056494B" w:rsidRDefault="0056494B" w:rsidP="0056494B">
      <w:pPr>
        <w:pStyle w:val="BodyText"/>
        <w:numPr>
          <w:ilvl w:val="0"/>
          <w:numId w:val="26"/>
        </w:numPr>
      </w:pPr>
      <w:r>
        <w:t>The UE did not rece</w:t>
      </w:r>
      <w:r w:rsidR="00C71597">
        <w:t>ive the beam indication</w:t>
      </w:r>
    </w:p>
    <w:p w14:paraId="5A5BE9C6" w14:textId="0C73D77C" w:rsidR="00C71597" w:rsidRDefault="00C71597" w:rsidP="0056494B">
      <w:pPr>
        <w:pStyle w:val="BodyText"/>
        <w:numPr>
          <w:ilvl w:val="0"/>
          <w:numId w:val="26"/>
        </w:numPr>
      </w:pPr>
      <w:r>
        <w:t>The UE did receive the beam indication, but the NW did not receive the acknowledgment.</w:t>
      </w:r>
    </w:p>
    <w:p w14:paraId="24FA1188" w14:textId="05F44142" w:rsidR="00C71597" w:rsidRPr="0056494B" w:rsidRDefault="00C71597" w:rsidP="00C71597">
      <w:pPr>
        <w:pStyle w:val="BodyText"/>
      </w:pPr>
      <w:r>
        <w:t xml:space="preserve">The point here is that the NW does not know what has happened and must react to handle both cases. The only thing the NW can do is to send a new beam indication, and there must be sufficient time to do this. This motivates the larger values. </w:t>
      </w:r>
    </w:p>
    <w:p w14:paraId="053B353B" w14:textId="7FF7A9A5" w:rsidR="004C2F96" w:rsidRDefault="00C71597" w:rsidP="00C71597">
      <w:pPr>
        <w:pStyle w:val="Heading3"/>
      </w:pPr>
      <w:r>
        <w:t>2.1.6</w:t>
      </w:r>
      <w:r>
        <w:tab/>
        <w:t>Question 1.13 (2)</w:t>
      </w:r>
    </w:p>
    <w:p w14:paraId="6C1D62BA" w14:textId="4B84D400" w:rsidR="00C71597" w:rsidRPr="00C71597" w:rsidRDefault="00C71597" w:rsidP="00CE0424">
      <w:pPr>
        <w:pStyle w:val="BodyText"/>
      </w:pPr>
      <w:r>
        <w:t xml:space="preserve">In the running CR, RAN2 has decided to configure </w:t>
      </w:r>
      <w:proofErr w:type="spellStart"/>
      <w:r w:rsidRPr="00C71597">
        <w:rPr>
          <w:i/>
          <w:iCs/>
        </w:rPr>
        <w:t>additionalPCI</w:t>
      </w:r>
      <w:proofErr w:type="spellEnd"/>
      <w:r>
        <w:rPr>
          <w:i/>
          <w:iCs/>
        </w:rPr>
        <w:t xml:space="preserve"> </w:t>
      </w:r>
      <w:r>
        <w:t xml:space="preserve">on </w:t>
      </w:r>
      <w:r w:rsidRPr="00C71597">
        <w:rPr>
          <w:i/>
          <w:iCs/>
        </w:rPr>
        <w:t>CSI-SSB-</w:t>
      </w:r>
      <w:proofErr w:type="spellStart"/>
      <w:r w:rsidRPr="00C71597">
        <w:rPr>
          <w:i/>
          <w:iCs/>
        </w:rPr>
        <w:t>ResourceSet</w:t>
      </w:r>
      <w:proofErr w:type="spellEnd"/>
      <w:r>
        <w:t xml:space="preserve"> level, and RAN2 asks if this is acceptable:</w:t>
      </w:r>
    </w:p>
    <w:p w14:paraId="58ABE7EB" w14:textId="77777777" w:rsidR="00C71597" w:rsidRDefault="00C71597" w:rsidP="00C71597">
      <w:pPr>
        <w:pStyle w:val="BodyText"/>
      </w:pPr>
      <w:r w:rsidRPr="006A6FD8">
        <w:rPr>
          <w:b/>
          <w:bCs/>
        </w:rPr>
        <w:t>Question 1.</w:t>
      </w:r>
      <w:r>
        <w:rPr>
          <w:b/>
          <w:bCs/>
        </w:rPr>
        <w:t>13</w:t>
      </w:r>
      <w:r w:rsidRPr="006A6FD8">
        <w:rPr>
          <w:b/>
          <w:bCs/>
        </w:rPr>
        <w:t xml:space="preserve">: </w:t>
      </w:r>
      <w:r w:rsidRPr="00295F8E">
        <w:t xml:space="preserve">Should it be possible for different SSB indexes in the same </w:t>
      </w:r>
      <w:r w:rsidRPr="00295F8E">
        <w:rPr>
          <w:i/>
          <w:iCs/>
        </w:rPr>
        <w:t>CSI-SSB-ResourceSet</w:t>
      </w:r>
      <w:r w:rsidRPr="00295F8E">
        <w:t xml:space="preserve"> to be associated with different </w:t>
      </w:r>
      <w:proofErr w:type="spellStart"/>
      <w:r w:rsidRPr="00295F8E">
        <w:rPr>
          <w:i/>
          <w:iCs/>
        </w:rPr>
        <w:t>additionalPCI</w:t>
      </w:r>
      <w:proofErr w:type="spellEnd"/>
      <w:r w:rsidRPr="00295F8E">
        <w:t>?</w:t>
      </w:r>
    </w:p>
    <w:p w14:paraId="2660A9ED" w14:textId="77777777" w:rsidR="00C71597" w:rsidRPr="00C71597" w:rsidRDefault="00C71597" w:rsidP="00C71597">
      <w:pPr>
        <w:pStyle w:val="BodyText"/>
      </w:pPr>
      <w:r w:rsidRPr="00C71597">
        <w:rPr>
          <w:b/>
          <w:bCs/>
        </w:rPr>
        <w:t xml:space="preserve">Comment: </w:t>
      </w:r>
      <w:r w:rsidRPr="00C71597">
        <w:t>In RAN1#104bis-e, RAN1 made the following agreement:</w:t>
      </w:r>
    </w:p>
    <w:p w14:paraId="6563A0C4" w14:textId="77777777" w:rsidR="00C71597" w:rsidRPr="00C71597" w:rsidRDefault="00C71597" w:rsidP="00C71597">
      <w:pPr>
        <w:rPr>
          <w:rFonts w:ascii="Times New Roman" w:hAnsi="Times New Roman" w:cs="Times New Roman"/>
          <w:b/>
          <w:bCs/>
          <w:szCs w:val="20"/>
          <w:lang w:eastAsia="x-none"/>
        </w:rPr>
      </w:pPr>
      <w:r w:rsidRPr="00C71597">
        <w:rPr>
          <w:rFonts w:ascii="Times New Roman" w:hAnsi="Times New Roman" w:cs="Times New Roman"/>
          <w:b/>
          <w:bCs/>
          <w:szCs w:val="20"/>
          <w:highlight w:val="green"/>
          <w:lang w:eastAsia="x-none"/>
        </w:rPr>
        <w:t>Agreement</w:t>
      </w:r>
    </w:p>
    <w:p w14:paraId="3A1B7DD5" w14:textId="77777777" w:rsidR="00C71597" w:rsidRPr="00C71597" w:rsidRDefault="00C71597" w:rsidP="00C71597">
      <w:pPr>
        <w:snapToGrid w:val="0"/>
        <w:rPr>
          <w:rFonts w:ascii="Times New Roman" w:hAnsi="Times New Roman" w:cs="Times New Roman"/>
          <w:szCs w:val="20"/>
        </w:rPr>
      </w:pPr>
      <w:r w:rsidRPr="00C71597">
        <w:rPr>
          <w:rFonts w:ascii="Times New Roman" w:hAnsi="Times New Roman" w:cs="Times New Roman"/>
          <w:szCs w:val="20"/>
        </w:rPr>
        <w:t xml:space="preserve">On Rel.17 multi-beam measurement/reporting enhancements </w:t>
      </w:r>
      <w:r w:rsidRPr="00C71597">
        <w:rPr>
          <w:rFonts w:ascii="Times New Roman" w:hAnsi="Times New Roman" w:cs="Times New Roman"/>
          <w:color w:val="000000"/>
          <w:szCs w:val="20"/>
        </w:rPr>
        <w:t>for L1/L2-centric inter-cell mobility and inter-cell mTRP</w:t>
      </w:r>
      <w:r w:rsidRPr="00C71597">
        <w:rPr>
          <w:rFonts w:ascii="Times New Roman" w:hAnsi="Times New Roman" w:cs="Times New Roman"/>
          <w:szCs w:val="20"/>
        </w:rPr>
        <w:t xml:space="preserve">, </w:t>
      </w:r>
    </w:p>
    <w:p w14:paraId="4BB72D2B" w14:textId="77777777" w:rsidR="00C71597" w:rsidRPr="00C71597" w:rsidRDefault="00C71597" w:rsidP="00C71597">
      <w:pPr>
        <w:pStyle w:val="ListParagraph"/>
        <w:numPr>
          <w:ilvl w:val="0"/>
          <w:numId w:val="24"/>
        </w:numPr>
        <w:autoSpaceDN w:val="0"/>
        <w:snapToGrid w:val="0"/>
        <w:spacing w:line="240" w:lineRule="auto"/>
        <w:jc w:val="both"/>
        <w:rPr>
          <w:rFonts w:ascii="Times New Roman" w:hAnsi="Times New Roman" w:cs="Times New Roman"/>
          <w:sz w:val="20"/>
          <w:szCs w:val="20"/>
          <w:lang w:eastAsia="ko-KR"/>
        </w:rPr>
      </w:pPr>
      <w:r w:rsidRPr="00C71597">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4D4CADD3" w14:textId="77777777" w:rsidR="00C71597" w:rsidRPr="00C71597" w:rsidRDefault="00C71597" w:rsidP="00C71597">
      <w:pPr>
        <w:pStyle w:val="ListParagraph"/>
        <w:numPr>
          <w:ilvl w:val="1"/>
          <w:numId w:val="24"/>
        </w:numPr>
        <w:autoSpaceDN w:val="0"/>
        <w:snapToGrid w:val="0"/>
        <w:spacing w:line="240" w:lineRule="auto"/>
        <w:jc w:val="both"/>
        <w:rPr>
          <w:rFonts w:ascii="Times New Roman" w:hAnsi="Times New Roman" w:cs="Times New Roman"/>
          <w:sz w:val="20"/>
          <w:szCs w:val="20"/>
          <w:lang w:eastAsia="ko-KR"/>
        </w:rPr>
      </w:pPr>
      <w:r w:rsidRPr="00C71597">
        <w:rPr>
          <w:rFonts w:ascii="Times New Roman" w:hAnsi="Times New Roman" w:cs="Times New Roman"/>
          <w:sz w:val="20"/>
          <w:szCs w:val="20"/>
          <w:lang w:eastAsia="ko-KR"/>
        </w:rPr>
        <w:t>FFS: whether this applies to periodic, semi-persistent, and/or aperiodic</w:t>
      </w:r>
    </w:p>
    <w:p w14:paraId="11B56460" w14:textId="77777777" w:rsidR="00C71597" w:rsidRPr="00C71597" w:rsidRDefault="00C71597" w:rsidP="00C71597">
      <w:pPr>
        <w:pStyle w:val="ListParagraph"/>
        <w:numPr>
          <w:ilvl w:val="1"/>
          <w:numId w:val="24"/>
        </w:numPr>
        <w:autoSpaceDN w:val="0"/>
        <w:snapToGrid w:val="0"/>
        <w:spacing w:line="240" w:lineRule="auto"/>
        <w:jc w:val="both"/>
        <w:rPr>
          <w:rFonts w:ascii="Times New Roman" w:hAnsi="Times New Roman" w:cs="Times New Roman"/>
          <w:sz w:val="20"/>
          <w:szCs w:val="20"/>
          <w:lang w:eastAsia="ko-KR"/>
        </w:rPr>
      </w:pPr>
      <w:r w:rsidRPr="00C71597">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76D87FDA" w14:textId="77777777" w:rsidR="00C71597" w:rsidRPr="00C71597" w:rsidRDefault="00C71597" w:rsidP="00C71597">
      <w:pPr>
        <w:pStyle w:val="ListParagraph"/>
        <w:numPr>
          <w:ilvl w:val="1"/>
          <w:numId w:val="24"/>
        </w:numPr>
        <w:autoSpaceDN w:val="0"/>
        <w:snapToGrid w:val="0"/>
        <w:spacing w:line="240" w:lineRule="auto"/>
        <w:jc w:val="both"/>
        <w:rPr>
          <w:rFonts w:ascii="Times New Roman" w:hAnsi="Times New Roman" w:cs="Times New Roman"/>
          <w:sz w:val="20"/>
          <w:szCs w:val="20"/>
          <w:lang w:eastAsia="ko-KR"/>
        </w:rPr>
      </w:pPr>
      <w:r w:rsidRPr="00C71597">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6AADCB40" w14:textId="77777777" w:rsidR="00C71597" w:rsidRPr="00C71597" w:rsidRDefault="00C71597" w:rsidP="00C71597">
      <w:pPr>
        <w:pStyle w:val="BodyText"/>
      </w:pPr>
    </w:p>
    <w:p w14:paraId="7F182AB9" w14:textId="77777777" w:rsidR="00DE6E95" w:rsidRDefault="00C71597" w:rsidP="00CE0424">
      <w:pPr>
        <w:pStyle w:val="BodyText"/>
      </w:pPr>
      <w:r w:rsidRPr="00C71597">
        <w:t>Hence, it should be possible to mix SSB measurements associated with serving cell and other cells in the same report. However, one report can include measurements on reference signals in multiple</w:t>
      </w:r>
      <w:r>
        <w:t xml:space="preserve"> </w:t>
      </w:r>
      <w:r w:rsidRPr="00295F8E">
        <w:rPr>
          <w:i/>
          <w:iCs/>
        </w:rPr>
        <w:t>CSI-SSB-</w:t>
      </w:r>
      <w:proofErr w:type="spellStart"/>
      <w:r w:rsidRPr="00295F8E">
        <w:rPr>
          <w:i/>
          <w:iCs/>
        </w:rPr>
        <w:t>ResourceSet</w:t>
      </w:r>
      <w:r>
        <w:rPr>
          <w:i/>
          <w:iCs/>
        </w:rPr>
        <w:t>s</w:t>
      </w:r>
      <w:proofErr w:type="spellEnd"/>
      <w:r>
        <w:rPr>
          <w:i/>
          <w:iCs/>
        </w:rPr>
        <w:t xml:space="preserve">. </w:t>
      </w:r>
      <w:r>
        <w:t xml:space="preserve">Hence, even with the proposed RRC implementation, the agreed functionality can be achieved. </w:t>
      </w:r>
    </w:p>
    <w:p w14:paraId="7AD1A2E4" w14:textId="77777777" w:rsidR="00DE6E95" w:rsidRDefault="00DE6E95" w:rsidP="00CE0424">
      <w:pPr>
        <w:pStyle w:val="BodyText"/>
      </w:pPr>
    </w:p>
    <w:p w14:paraId="57630674" w14:textId="6019169E" w:rsidR="00DE6E95" w:rsidRDefault="00DE6E95" w:rsidP="00DE6E95">
      <w:pPr>
        <w:pStyle w:val="Heading3"/>
      </w:pPr>
      <w:r>
        <w:t>2.1.7</w:t>
      </w:r>
      <w:r>
        <w:tab/>
        <w:t xml:space="preserve">Question </w:t>
      </w:r>
      <w:r w:rsidR="00B97311">
        <w:t>2.1</w:t>
      </w:r>
    </w:p>
    <w:p w14:paraId="234B6115" w14:textId="5F053A51" w:rsidR="00FE5946" w:rsidRDefault="006A0848" w:rsidP="00FE5946">
      <w:pPr>
        <w:rPr>
          <w:lang w:val="en-GB" w:eastAsia="ja-JP"/>
        </w:rPr>
      </w:pPr>
      <w:r>
        <w:rPr>
          <w:lang w:val="en-GB" w:eastAsia="ja-JP"/>
        </w:rPr>
        <w:t xml:space="preserve">Since RAN2 have agreed </w:t>
      </w:r>
      <w:r w:rsidR="00AE17BF">
        <w:rPr>
          <w:lang w:val="en-GB" w:eastAsia="ja-JP"/>
        </w:rPr>
        <w:t xml:space="preserve">to introduce a new IE for </w:t>
      </w:r>
      <w:r w:rsidR="004D6276">
        <w:rPr>
          <w:lang w:val="en-GB" w:eastAsia="ja-JP"/>
        </w:rPr>
        <w:t xml:space="preserve">power control for mTRP FR1 operation, they ask </w:t>
      </w:r>
      <w:r w:rsidR="00C92F83">
        <w:rPr>
          <w:lang w:val="en-GB" w:eastAsia="ja-JP"/>
        </w:rPr>
        <w:t xml:space="preserve">how many power control </w:t>
      </w:r>
      <w:r w:rsidR="00CC32DF">
        <w:rPr>
          <w:lang w:val="en-GB" w:eastAsia="ja-JP"/>
        </w:rPr>
        <w:t>sets need to be configured.</w:t>
      </w:r>
    </w:p>
    <w:p w14:paraId="03159710" w14:textId="77777777" w:rsidR="00FE5946" w:rsidRPr="00FE5946" w:rsidRDefault="00FE5946" w:rsidP="00FE5946">
      <w:pPr>
        <w:pStyle w:val="BodyText"/>
      </w:pPr>
      <w:r w:rsidRPr="00FE5946">
        <w:rPr>
          <w:b/>
          <w:bCs/>
        </w:rPr>
        <w:t xml:space="preserve">Question 2.1: </w:t>
      </w:r>
      <w:r w:rsidRPr="00FE5946">
        <w:t>How many power control sets needs to be configured with respect to the each TRP and then in relation to the corresponding MAC CE per UE/cell/BWP?</w:t>
      </w:r>
    </w:p>
    <w:p w14:paraId="6E50FD47" w14:textId="238C8005" w:rsidR="00FE5946" w:rsidRPr="00FE5946" w:rsidRDefault="00CC32DF" w:rsidP="004222D8">
      <w:pPr>
        <w:spacing w:after="120"/>
        <w:rPr>
          <w:lang w:eastAsia="zh-CN"/>
        </w:rPr>
      </w:pPr>
      <w:r>
        <w:rPr>
          <w:rFonts w:cs="Arial"/>
          <w:b/>
          <w:bCs/>
        </w:rPr>
        <w:t>Comment</w:t>
      </w:r>
      <w:r w:rsidR="00FE5946" w:rsidRPr="687078BA">
        <w:rPr>
          <w:rFonts w:cs="Arial"/>
          <w:b/>
          <w:bCs/>
        </w:rPr>
        <w:t>:</w:t>
      </w:r>
      <w:r w:rsidR="00FE5946" w:rsidRPr="687078BA">
        <w:rPr>
          <w:rFonts w:cs="Arial"/>
        </w:rPr>
        <w:t xml:space="preserve">  </w:t>
      </w:r>
      <w:r>
        <w:rPr>
          <w:rFonts w:cs="Arial"/>
        </w:rPr>
        <w:t xml:space="preserve">Since the target use case for this IE is FR1 operation, one </w:t>
      </w:r>
      <w:r w:rsidR="007F0711">
        <w:rPr>
          <w:rFonts w:cs="Arial"/>
        </w:rPr>
        <w:t xml:space="preserve">power control set per TRP may be sufficient.  However, </w:t>
      </w:r>
      <w:r w:rsidR="00A9344D">
        <w:rPr>
          <w:rFonts w:cs="Arial"/>
        </w:rPr>
        <w:t xml:space="preserve">typically, there could be multiple TRPs supported by a </w:t>
      </w:r>
      <w:r w:rsidR="00411DEB">
        <w:rPr>
          <w:rFonts w:cs="Arial"/>
        </w:rPr>
        <w:t xml:space="preserve">gNB and the gNB can decide </w:t>
      </w:r>
      <w:r w:rsidR="005A306C">
        <w:rPr>
          <w:rFonts w:cs="Arial"/>
        </w:rPr>
        <w:t xml:space="preserve">which of the multiple TRPs </w:t>
      </w:r>
      <w:r w:rsidR="00FD44C0">
        <w:rPr>
          <w:rFonts w:cs="Arial"/>
        </w:rPr>
        <w:t xml:space="preserve">the UE should transmit to.  </w:t>
      </w:r>
      <w:r w:rsidR="0011774A">
        <w:rPr>
          <w:rFonts w:cs="Arial"/>
        </w:rPr>
        <w:t>Hence, we suggested a value of 8 power control sets (</w:t>
      </w:r>
      <w:r w:rsidR="00557356">
        <w:rPr>
          <w:rFonts w:cs="Arial"/>
        </w:rPr>
        <w:t>corresponding to 8 TRPs), out of which the MAC CE</w:t>
      </w:r>
      <w:r w:rsidR="00E911D5">
        <w:rPr>
          <w:rFonts w:cs="Arial"/>
        </w:rPr>
        <w:t xml:space="preserve"> can activate up to two to the UE.</w:t>
      </w:r>
    </w:p>
    <w:p w14:paraId="0672F45F" w14:textId="77777777" w:rsidR="00FE5946" w:rsidRPr="00FE5946" w:rsidRDefault="00FE5946" w:rsidP="00FE5946">
      <w:pPr>
        <w:rPr>
          <w:lang w:val="en-GB" w:eastAsia="ja-JP"/>
        </w:rPr>
      </w:pPr>
    </w:p>
    <w:p w14:paraId="4373527A" w14:textId="4836D26E" w:rsidR="00C853CE" w:rsidRDefault="00CB5BDD" w:rsidP="00C853CE">
      <w:pPr>
        <w:pStyle w:val="Heading3"/>
      </w:pPr>
      <w:r>
        <w:lastRenderedPageBreak/>
        <w:t>2.1.8</w:t>
      </w:r>
      <w:r>
        <w:tab/>
      </w:r>
      <w:r w:rsidR="00C853CE">
        <w:t>Question 2.</w:t>
      </w:r>
      <w:r>
        <w:t>4</w:t>
      </w:r>
    </w:p>
    <w:p w14:paraId="056338E9" w14:textId="3F85BDB5" w:rsidR="00C853CE" w:rsidRDefault="00AE6FA4" w:rsidP="00C853CE">
      <w:pPr>
        <w:spacing w:after="120"/>
        <w:rPr>
          <w:rFonts w:cs="Arial"/>
        </w:rPr>
      </w:pPr>
      <w:r>
        <w:rPr>
          <w:rFonts w:cs="Arial"/>
        </w:rPr>
        <w:t>RAN2 asks</w:t>
      </w:r>
      <w:r w:rsidR="004F1B9B">
        <w:rPr>
          <w:rFonts w:cs="Arial"/>
        </w:rPr>
        <w:t xml:space="preserve"> what </w:t>
      </w:r>
      <w:proofErr w:type="gramStart"/>
      <w:r w:rsidR="004F1B9B">
        <w:rPr>
          <w:rFonts w:cs="Arial"/>
        </w:rPr>
        <w:t>should be the ma</w:t>
      </w:r>
      <w:r w:rsidR="00622A56">
        <w:rPr>
          <w:rFonts w:cs="Arial"/>
        </w:rPr>
        <w:t xml:space="preserve">ximum </w:t>
      </w:r>
      <w:r w:rsidR="00195C17">
        <w:rPr>
          <w:rFonts w:cs="Arial"/>
        </w:rPr>
        <w:t>number of detection resources</w:t>
      </w:r>
      <w:proofErr w:type="gramEnd"/>
      <w:r w:rsidR="00195C17">
        <w:rPr>
          <w:rFonts w:cs="Arial"/>
        </w:rPr>
        <w:t xml:space="preserve"> to be configured</w:t>
      </w:r>
      <w:r w:rsidR="001C4A3B">
        <w:rPr>
          <w:rFonts w:cs="Arial"/>
        </w:rPr>
        <w:t>, and also the maximum number of recovery re</w:t>
      </w:r>
      <w:r w:rsidR="00C67DA5">
        <w:rPr>
          <w:rFonts w:cs="Arial"/>
        </w:rPr>
        <w:t>sources</w:t>
      </w:r>
      <w:r w:rsidR="00C853CE">
        <w:rPr>
          <w:rFonts w:cs="Arial"/>
        </w:rPr>
        <w:t xml:space="preserve">. </w:t>
      </w:r>
    </w:p>
    <w:p w14:paraId="4A8AEA35" w14:textId="77777777" w:rsidR="00C853CE" w:rsidRPr="000C39A8" w:rsidRDefault="00C853CE" w:rsidP="00C853CE">
      <w:pPr>
        <w:spacing w:after="120"/>
        <w:rPr>
          <w:sz w:val="24"/>
          <w:szCs w:val="24"/>
        </w:rPr>
      </w:pPr>
      <w:r w:rsidRPr="00FE62B1">
        <w:rPr>
          <w:rFonts w:cs="Arial"/>
          <w:b/>
          <w:bCs/>
        </w:rPr>
        <w:t xml:space="preserve">Question </w:t>
      </w:r>
      <w:r>
        <w:rPr>
          <w:rFonts w:cs="Arial"/>
          <w:b/>
          <w:bCs/>
        </w:rPr>
        <w:t>2.4:</w:t>
      </w:r>
      <w:r w:rsidRPr="00271F0E">
        <w:rPr>
          <w:rFonts w:cs="Arial"/>
        </w:rPr>
        <w:t xml:space="preserve"> </w:t>
      </w:r>
      <w:r>
        <w:rPr>
          <w:rFonts w:cs="Arial"/>
        </w:rPr>
        <w:t xml:space="preserve">Please inform how to implement beam failure detection RS sets for mTRP. </w:t>
      </w:r>
      <w:proofErr w:type="gramStart"/>
      <w:r>
        <w:rPr>
          <w:rFonts w:cs="Arial"/>
        </w:rPr>
        <w:t>Also</w:t>
      </w:r>
      <w:proofErr w:type="gramEnd"/>
      <w:r>
        <w:rPr>
          <w:rFonts w:cs="Arial"/>
        </w:rPr>
        <w:t xml:space="preserve"> what is the maximum number of detection resources to be configured per UE per cell or per TRP? What is the maximum number of recovery resources to be configured per UE per cell or per TRP?</w:t>
      </w:r>
    </w:p>
    <w:p w14:paraId="215B27B3" w14:textId="127EEC98" w:rsidR="009D19AB" w:rsidRDefault="00C67DA5" w:rsidP="00C853CE">
      <w:pPr>
        <w:spacing w:after="120"/>
        <w:jc w:val="both"/>
        <w:rPr>
          <w:rFonts w:cs="Arial"/>
        </w:rPr>
      </w:pPr>
      <w:r>
        <w:rPr>
          <w:rFonts w:cs="Arial"/>
          <w:b/>
          <w:bCs/>
        </w:rPr>
        <w:t>Comment</w:t>
      </w:r>
      <w:r w:rsidR="00C853CE" w:rsidRPr="57B53BDF">
        <w:rPr>
          <w:rFonts w:cs="Arial"/>
          <w:b/>
          <w:bCs/>
        </w:rPr>
        <w:t>:</w:t>
      </w:r>
      <w:r w:rsidR="00C853CE">
        <w:rPr>
          <w:rFonts w:cs="Arial"/>
        </w:rPr>
        <w:t xml:space="preserve">  </w:t>
      </w:r>
      <w:r>
        <w:rPr>
          <w:rFonts w:cs="Arial"/>
        </w:rPr>
        <w:t xml:space="preserve">While these numbers are under </w:t>
      </w:r>
      <w:r w:rsidR="003C7F96">
        <w:rPr>
          <w:rFonts w:cs="Arial"/>
        </w:rPr>
        <w:t xml:space="preserve">discussion in UE features, we suggested a value of 10 for the maximum number of detection resources in each BFD-RS set.  Note that </w:t>
      </w:r>
      <w:r w:rsidR="00154471">
        <w:rPr>
          <w:rFonts w:cs="Arial"/>
        </w:rPr>
        <w:t xml:space="preserve">this is </w:t>
      </w:r>
      <w:proofErr w:type="gramStart"/>
      <w:r w:rsidR="00154471">
        <w:rPr>
          <w:rFonts w:cs="Arial"/>
        </w:rPr>
        <w:t>similar to</w:t>
      </w:r>
      <w:proofErr w:type="gramEnd"/>
      <w:r w:rsidR="00154471">
        <w:rPr>
          <w:rFonts w:cs="Arial"/>
        </w:rPr>
        <w:t xml:space="preserve"> the value currently specified in 38.331 for </w:t>
      </w:r>
      <w:proofErr w:type="spellStart"/>
      <w:r w:rsidR="00154471" w:rsidRPr="00D27132">
        <w:t>maxNrofFailureDetectionResources</w:t>
      </w:r>
      <w:proofErr w:type="spellEnd"/>
      <w:r w:rsidR="00154471">
        <w:rPr>
          <w:rFonts w:cs="Arial"/>
        </w:rPr>
        <w:t xml:space="preserve">.  </w:t>
      </w:r>
      <w:r w:rsidR="00201982">
        <w:rPr>
          <w:rFonts w:cs="Arial"/>
        </w:rPr>
        <w:t xml:space="preserve">For maximum number of recovery resources in each candidate beam resource list, we suggested a value of </w:t>
      </w:r>
      <w:r w:rsidR="00FB0204">
        <w:rPr>
          <w:rFonts w:cs="Arial"/>
        </w:rPr>
        <w:t xml:space="preserve">64.  This is </w:t>
      </w:r>
      <w:proofErr w:type="gramStart"/>
      <w:r w:rsidR="00FB0204">
        <w:rPr>
          <w:rFonts w:cs="Arial"/>
        </w:rPr>
        <w:t>similar to</w:t>
      </w:r>
      <w:proofErr w:type="gramEnd"/>
      <w:r w:rsidR="00FB0204">
        <w:rPr>
          <w:rFonts w:cs="Arial"/>
        </w:rPr>
        <w:t xml:space="preserve"> the value currently specified in </w:t>
      </w:r>
      <w:r w:rsidR="00671B48">
        <w:rPr>
          <w:rFonts w:cs="Arial"/>
        </w:rPr>
        <w:t xml:space="preserve">38.331 for </w:t>
      </w:r>
      <w:r w:rsidR="009D19AB" w:rsidRPr="00D27132">
        <w:t>maxNrofCandidateBeams-r16</w:t>
      </w:r>
      <w:r w:rsidR="00671B48">
        <w:t>.</w:t>
      </w:r>
    </w:p>
    <w:p w14:paraId="077A9999" w14:textId="77777777" w:rsidR="00C853CE" w:rsidRDefault="00C853CE" w:rsidP="00CE0424">
      <w:pPr>
        <w:pStyle w:val="BodyText"/>
      </w:pPr>
    </w:p>
    <w:p w14:paraId="28C67228" w14:textId="3079CCF0" w:rsidR="00703E70" w:rsidRDefault="00703E70" w:rsidP="00F80018">
      <w:pPr>
        <w:pStyle w:val="Heading2"/>
      </w:pPr>
      <w:r>
        <w:t>2.2</w:t>
      </w:r>
      <w:r>
        <w:tab/>
        <w:t>Other feedback on the running CR</w:t>
      </w:r>
    </w:p>
    <w:p w14:paraId="4FAF972F" w14:textId="0929B6AF" w:rsidR="00703E70" w:rsidRDefault="00F80018" w:rsidP="0084285A">
      <w:pPr>
        <w:pStyle w:val="Heading3"/>
      </w:pPr>
      <w:r>
        <w:t>2.2.1</w:t>
      </w:r>
      <w:r>
        <w:tab/>
      </w:r>
      <w:r w:rsidR="00703E70">
        <w:t>Reference CC</w:t>
      </w:r>
    </w:p>
    <w:p w14:paraId="6CDB64A5" w14:textId="1EE22777" w:rsidR="00F80018" w:rsidRDefault="00F80018" w:rsidP="00F80018">
      <w:pPr>
        <w:pStyle w:val="BodyText"/>
        <w:rPr>
          <w:lang w:val="en-GB"/>
        </w:rPr>
      </w:pPr>
      <w:r>
        <w:rPr>
          <w:lang w:val="en-GB"/>
        </w:rPr>
        <w:t>RAN1 made the following agreement:</w:t>
      </w:r>
    </w:p>
    <w:p w14:paraId="6510C90F" w14:textId="26C0CEE2" w:rsidR="00F80018" w:rsidRDefault="00F80018" w:rsidP="00F80018">
      <w:pPr>
        <w:pStyle w:val="BodyText"/>
        <w:rPr>
          <w:lang w:val="en-GB"/>
        </w:rPr>
      </w:pPr>
      <w:r>
        <w:rPr>
          <w:noProof/>
          <w:lang w:val="en-GB"/>
        </w:rPr>
        <mc:AlternateContent>
          <mc:Choice Requires="wps">
            <w:drawing>
              <wp:inline distT="0" distB="0" distL="0" distR="0" wp14:anchorId="6D547D4E" wp14:editId="7CF983F9">
                <wp:extent cx="6604000" cy="825500"/>
                <wp:effectExtent l="0" t="0" r="25400" b="24765"/>
                <wp:docPr id="1" name="Text Box 1"/>
                <wp:cNvGraphicFramePr/>
                <a:graphic xmlns:a="http://schemas.openxmlformats.org/drawingml/2006/main">
                  <a:graphicData uri="http://schemas.microsoft.com/office/word/2010/wordprocessingShape">
                    <wps:wsp>
                      <wps:cNvSpPr txBox="1"/>
                      <wps:spPr>
                        <a:xfrm>
                          <a:off x="0" y="0"/>
                          <a:ext cx="6604000" cy="825500"/>
                        </a:xfrm>
                        <a:prstGeom prst="rect">
                          <a:avLst/>
                        </a:prstGeom>
                        <a:solidFill>
                          <a:schemeClr val="lt1"/>
                        </a:solidFill>
                        <a:ln w="6350">
                          <a:solidFill>
                            <a:prstClr val="black"/>
                          </a:solidFill>
                        </a:ln>
                      </wps:spPr>
                      <wps:txbx>
                        <w:txbxContent>
                          <w:p w14:paraId="4FDCE9D8" w14:textId="77777777" w:rsidR="00F80018" w:rsidRPr="0036243D" w:rsidRDefault="00F80018" w:rsidP="00F80018">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6903F5A8" w14:textId="77777777" w:rsidR="00F80018" w:rsidRPr="0036243D" w:rsidRDefault="00F80018" w:rsidP="00F80018">
                            <w:pPr>
                              <w:snapToGrid w:val="0"/>
                              <w:jc w:val="both"/>
                              <w:rPr>
                                <w:rFonts w:ascii="Times New Roman" w:eastAsia="Times New Roman" w:hAnsi="Times New Roman" w:cs="Times New Roman"/>
                                <w:szCs w:val="20"/>
                              </w:rPr>
                            </w:pPr>
                            <w:r w:rsidRPr="0036243D">
                              <w:rPr>
                                <w:rFonts w:ascii="Times New Roman" w:eastAsia="Times New Roman" w:hAnsi="Times New Roman" w:cs="Times New Roman"/>
                                <w:szCs w:val="20"/>
                              </w:rPr>
                              <w:t>On Rel.17 unified TCI framework,</w:t>
                            </w:r>
                            <w:r w:rsidRPr="0036243D">
                              <w:rPr>
                                <w:rFonts w:ascii="Times New Roman" w:hAnsi="Times New Roman" w:cs="Times New Roman"/>
                                <w:szCs w:val="20"/>
                                <w:lang w:eastAsia="ja-JP"/>
                              </w:rPr>
                              <w:t xml:space="preserve"> confirm the following working assumption as an agreement with a minor refinement highlighted in </w:t>
                            </w:r>
                            <w:r w:rsidRPr="0036243D">
                              <w:rPr>
                                <w:rFonts w:ascii="Times New Roman" w:hAnsi="Times New Roman" w:cs="Times New Roman"/>
                                <w:color w:val="FF0000"/>
                                <w:szCs w:val="20"/>
                                <w:lang w:eastAsia="ja-JP"/>
                              </w:rPr>
                              <w:t>red</w:t>
                            </w:r>
                            <w:r w:rsidRPr="0036243D">
                              <w:rPr>
                                <w:rFonts w:ascii="Times New Roman" w:hAnsi="Times New Roman" w:cs="Times New Roman"/>
                                <w:szCs w:val="20"/>
                                <w:lang w:eastAsia="ja-JP"/>
                              </w:rPr>
                              <w:t xml:space="preserve"> </w:t>
                            </w:r>
                          </w:p>
                          <w:p w14:paraId="57F42757" w14:textId="77777777" w:rsidR="00F80018" w:rsidRPr="0036243D" w:rsidRDefault="00F80018" w:rsidP="00F80018">
                            <w:pPr>
                              <w:snapToGrid w:val="0"/>
                              <w:rPr>
                                <w:rFonts w:ascii="Times New Roman" w:hAnsi="Times New Roman" w:cs="Times New Roman"/>
                                <w:szCs w:val="20"/>
                                <w:lang w:eastAsia="ja-JP"/>
                              </w:rPr>
                            </w:pPr>
                            <w:r w:rsidRPr="0036243D">
                              <w:rPr>
                                <w:rFonts w:ascii="Times New Roman" w:eastAsia="Malgun Gothic" w:hAnsi="Times New Roman" w:cs="Times New Roman"/>
                                <w:szCs w:val="20"/>
                              </w:rPr>
                              <w:t xml:space="preserve">For common TCI state ID update and activation to provide common QCL information </w:t>
                            </w:r>
                            <w:r w:rsidRPr="0036243D">
                              <w:rPr>
                                <w:rFonts w:ascii="Times New Roman" w:eastAsia="Malgun Gothic" w:hAnsi="Times New Roman" w:cs="Times New Roman"/>
                                <w:szCs w:val="20"/>
                                <w:lang w:eastAsia="ja-JP"/>
                              </w:rPr>
                              <w:t xml:space="preserve">at least for UE-dedicated PDCCH/PDSCH </w:t>
                            </w:r>
                            <w:r w:rsidRPr="0036243D">
                              <w:rPr>
                                <w:rFonts w:ascii="Times New Roman" w:eastAsia="Malgun Gothic" w:hAnsi="Times New Roman" w:cs="Times New Roman"/>
                                <w:szCs w:val="20"/>
                              </w:rPr>
                              <w:t xml:space="preserve">and/or common UL TX spatial filter(s) </w:t>
                            </w:r>
                            <w:r w:rsidRPr="0036243D">
                              <w:rPr>
                                <w:rFonts w:ascii="Times New Roman" w:eastAsia="Malgun Gothic" w:hAnsi="Times New Roman" w:cs="Times New Roman"/>
                                <w:szCs w:val="20"/>
                                <w:lang w:eastAsia="ja-JP"/>
                              </w:rPr>
                              <w:t xml:space="preserve">at least for UE-dedicated PUSCH/PUCCH </w:t>
                            </w:r>
                            <w:r w:rsidRPr="0036243D">
                              <w:rPr>
                                <w:rFonts w:ascii="Times New Roman" w:eastAsia="Malgun Gothic" w:hAnsi="Times New Roman" w:cs="Times New Roman"/>
                                <w:szCs w:val="20"/>
                              </w:rPr>
                              <w:t xml:space="preserve">across a set of [configured] CCs/BWPs: </w:t>
                            </w:r>
                          </w:p>
                          <w:p w14:paraId="4C96115E"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configured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as in Rel-15/16</w:t>
                            </w:r>
                          </w:p>
                          <w:p w14:paraId="3425180B"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lang w:eastAsia="zh-CN"/>
                              </w:rPr>
                              <w:t xml:space="preserve">Note: Such </w:t>
                            </w:r>
                            <w:r w:rsidRPr="0036243D">
                              <w:rPr>
                                <w:rFonts w:ascii="Times New Roman" w:eastAsia="Malgun Gothic" w:hAnsi="Times New Roman" w:cs="Times New Roman"/>
                                <w:szCs w:val="20"/>
                              </w:rPr>
                              <w:t>RRC-configured</w:t>
                            </w:r>
                            <w:r w:rsidRPr="0036243D">
                              <w:rPr>
                                <w:rFonts w:ascii="Times New Roman" w:hAnsi="Times New Roman" w:cs="Times New Roman"/>
                                <w:szCs w:val="20"/>
                                <w:lang w:eastAsia="zh-CN"/>
                              </w:rPr>
                              <w:t xml:space="preserve"> TCI state pool(s) configuration doesn’t imply that separate DL/UL TCI state pool is excluded or supported</w:t>
                            </w:r>
                          </w:p>
                          <w:p w14:paraId="0E18301F"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absent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and replaced with a reference to RRC-configured TCI state pool(s) in a reference BWP/CC</w:t>
                            </w:r>
                          </w:p>
                          <w:p w14:paraId="50FACBBC"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of the reference BWP/CC, RRC-configured TCI state pool(s) shall be configured</w:t>
                            </w:r>
                          </w:p>
                          <w:p w14:paraId="4066C729"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41F33DE5"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rPr>
                              <w:t>When the BWP/CC ID (</w:t>
                            </w:r>
                            <w:proofErr w:type="gramStart"/>
                            <w:r w:rsidRPr="0036243D">
                              <w:rPr>
                                <w:rFonts w:ascii="Times New Roman" w:hAnsi="Times New Roman" w:cs="Times New Roman"/>
                                <w:color w:val="FF0000"/>
                                <w:szCs w:val="20"/>
                              </w:rPr>
                              <w:t>i.e.</w:t>
                            </w:r>
                            <w:proofErr w:type="gramEnd"/>
                            <w:r w:rsidRPr="0036243D">
                              <w:rPr>
                                <w:rFonts w:ascii="Times New Roman" w:hAnsi="Times New Roman" w:cs="Times New Roman"/>
                                <w:color w:val="FF0000"/>
                                <w:szCs w:val="20"/>
                              </w:rPr>
                              <w:t xml:space="preserve"> </w:t>
                            </w:r>
                            <w:proofErr w:type="spellStart"/>
                            <w:r w:rsidRPr="0036243D">
                              <w:rPr>
                                <w:rFonts w:ascii="Times New Roman" w:hAnsi="Times New Roman" w:cs="Times New Roman"/>
                                <w:i/>
                                <w:color w:val="FF0000"/>
                                <w:szCs w:val="20"/>
                              </w:rPr>
                              <w:t>bwp</w:t>
                            </w:r>
                            <w:proofErr w:type="spellEnd"/>
                            <w:r w:rsidRPr="0036243D">
                              <w:rPr>
                                <w:rFonts w:ascii="Times New Roman" w:hAnsi="Times New Roman" w:cs="Times New Roman"/>
                                <w:i/>
                                <w:color w:val="FF0000"/>
                                <w:szCs w:val="20"/>
                              </w:rPr>
                              <w:t>-Id</w:t>
                            </w:r>
                            <w:r w:rsidRPr="0036243D">
                              <w:rPr>
                                <w:rFonts w:ascii="Times New Roman" w:hAnsi="Times New Roman" w:cs="Times New Roman"/>
                                <w:color w:val="FF0000"/>
                                <w:szCs w:val="20"/>
                              </w:rPr>
                              <w:t xml:space="preserve"> or </w:t>
                            </w:r>
                            <w:r w:rsidRPr="0036243D">
                              <w:rPr>
                                <w:rFonts w:ascii="Times New Roman" w:hAnsi="Times New Roman" w:cs="Times New Roman"/>
                                <w:i/>
                                <w:iCs/>
                                <w:szCs w:val="20"/>
                              </w:rPr>
                              <w:t>cell</w:t>
                            </w:r>
                            <w:r w:rsidRPr="0036243D">
                              <w:rPr>
                                <w:rFonts w:ascii="Times New Roman" w:hAnsi="Times New Roman" w:cs="Times New Roman"/>
                                <w:szCs w:val="20"/>
                              </w:rPr>
                              <w:t>) for QCL-Type A/D source RS in a </w:t>
                            </w:r>
                            <w:r w:rsidRPr="0036243D">
                              <w:rPr>
                                <w:rFonts w:ascii="Times New Roman" w:hAnsi="Times New Roman" w:cs="Times New Roman"/>
                                <w:i/>
                                <w:iCs/>
                                <w:szCs w:val="20"/>
                              </w:rPr>
                              <w:t>QCL-Info</w:t>
                            </w:r>
                            <w:r w:rsidRPr="0036243D">
                              <w:rPr>
                                <w:rFonts w:ascii="Times New Roman" w:hAnsi="Times New Roman" w:cs="Times New Roman"/>
                                <w:szCs w:val="20"/>
                              </w:rPr>
                              <w:t> of the TCI state is absent, the UE assumes that QCL-Type A/D source RS is in the BWP/CC to which the TCI state applies</w:t>
                            </w:r>
                          </w:p>
                          <w:p w14:paraId="4C325025" w14:textId="39E9F10C" w:rsidR="00F80018" w:rsidRPr="00F80018"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D547D4E" id="_x0000_t202" coordsize="21600,21600" o:spt="202" path="m,l,21600r21600,l21600,xe">
                <v:stroke joinstyle="miter"/>
                <v:path gradientshapeok="t" o:connecttype="rect"/>
              </v:shapetype>
              <v:shape id="Text Box 1" o:spid="_x0000_s1026" type="#_x0000_t202" style="width:520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" fillcolor="white [3201]" strokeweight=".5pt">
                <v:textbox style="mso-fit-shape-to-text:t">
                  <w:txbxContent>
                    <w:p w14:paraId="4FDCE9D8" w14:textId="77777777" w:rsidR="00F80018" w:rsidRPr="0036243D" w:rsidRDefault="00F80018" w:rsidP="00F80018">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6903F5A8" w14:textId="77777777" w:rsidR="00F80018" w:rsidRPr="0036243D" w:rsidRDefault="00F80018" w:rsidP="00F80018">
                      <w:pPr>
                        <w:snapToGrid w:val="0"/>
                        <w:jc w:val="both"/>
                        <w:rPr>
                          <w:rFonts w:ascii="Times New Roman" w:eastAsia="Times New Roman" w:hAnsi="Times New Roman" w:cs="Times New Roman"/>
                          <w:szCs w:val="20"/>
                        </w:rPr>
                      </w:pPr>
                      <w:r w:rsidRPr="0036243D">
                        <w:rPr>
                          <w:rFonts w:ascii="Times New Roman" w:eastAsia="Times New Roman" w:hAnsi="Times New Roman" w:cs="Times New Roman"/>
                          <w:szCs w:val="20"/>
                        </w:rPr>
                        <w:t>On Rel.17 unified TCI framework,</w:t>
                      </w:r>
                      <w:r w:rsidRPr="0036243D">
                        <w:rPr>
                          <w:rFonts w:ascii="Times New Roman" w:hAnsi="Times New Roman" w:cs="Times New Roman"/>
                          <w:szCs w:val="20"/>
                          <w:lang w:eastAsia="ja-JP"/>
                        </w:rPr>
                        <w:t xml:space="preserve"> confirm the following working assumption as an agreement with a minor refinement highlighted in </w:t>
                      </w:r>
                      <w:r w:rsidRPr="0036243D">
                        <w:rPr>
                          <w:rFonts w:ascii="Times New Roman" w:hAnsi="Times New Roman" w:cs="Times New Roman"/>
                          <w:color w:val="FF0000"/>
                          <w:szCs w:val="20"/>
                          <w:lang w:eastAsia="ja-JP"/>
                        </w:rPr>
                        <w:t>red</w:t>
                      </w:r>
                      <w:r w:rsidRPr="0036243D">
                        <w:rPr>
                          <w:rFonts w:ascii="Times New Roman" w:hAnsi="Times New Roman" w:cs="Times New Roman"/>
                          <w:szCs w:val="20"/>
                          <w:lang w:eastAsia="ja-JP"/>
                        </w:rPr>
                        <w:t xml:space="preserve"> </w:t>
                      </w:r>
                    </w:p>
                    <w:p w14:paraId="57F42757" w14:textId="77777777" w:rsidR="00F80018" w:rsidRPr="0036243D" w:rsidRDefault="00F80018" w:rsidP="00F80018">
                      <w:pPr>
                        <w:snapToGrid w:val="0"/>
                        <w:rPr>
                          <w:rFonts w:ascii="Times New Roman" w:hAnsi="Times New Roman" w:cs="Times New Roman"/>
                          <w:szCs w:val="20"/>
                          <w:lang w:eastAsia="ja-JP"/>
                        </w:rPr>
                      </w:pPr>
                      <w:r w:rsidRPr="0036243D">
                        <w:rPr>
                          <w:rFonts w:ascii="Times New Roman" w:eastAsia="Malgun Gothic" w:hAnsi="Times New Roman" w:cs="Times New Roman"/>
                          <w:szCs w:val="20"/>
                        </w:rPr>
                        <w:t xml:space="preserve">For common TCI state ID update and activation to provide common QCL information </w:t>
                      </w:r>
                      <w:r w:rsidRPr="0036243D">
                        <w:rPr>
                          <w:rFonts w:ascii="Times New Roman" w:eastAsia="Malgun Gothic" w:hAnsi="Times New Roman" w:cs="Times New Roman"/>
                          <w:szCs w:val="20"/>
                          <w:lang w:eastAsia="ja-JP"/>
                        </w:rPr>
                        <w:t xml:space="preserve">at least for UE-dedicated PDCCH/PDSCH </w:t>
                      </w:r>
                      <w:r w:rsidRPr="0036243D">
                        <w:rPr>
                          <w:rFonts w:ascii="Times New Roman" w:eastAsia="Malgun Gothic" w:hAnsi="Times New Roman" w:cs="Times New Roman"/>
                          <w:szCs w:val="20"/>
                        </w:rPr>
                        <w:t xml:space="preserve">and/or common UL TX spatial filter(s) </w:t>
                      </w:r>
                      <w:r w:rsidRPr="0036243D">
                        <w:rPr>
                          <w:rFonts w:ascii="Times New Roman" w:eastAsia="Malgun Gothic" w:hAnsi="Times New Roman" w:cs="Times New Roman"/>
                          <w:szCs w:val="20"/>
                          <w:lang w:eastAsia="ja-JP"/>
                        </w:rPr>
                        <w:t xml:space="preserve">at least for UE-dedicated PUSCH/PUCCH </w:t>
                      </w:r>
                      <w:r w:rsidRPr="0036243D">
                        <w:rPr>
                          <w:rFonts w:ascii="Times New Roman" w:eastAsia="Malgun Gothic" w:hAnsi="Times New Roman" w:cs="Times New Roman"/>
                          <w:szCs w:val="20"/>
                        </w:rPr>
                        <w:t xml:space="preserve">across a set of [configured] CCs/BWPs: </w:t>
                      </w:r>
                    </w:p>
                    <w:p w14:paraId="4C96115E"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configured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as in Rel-15/16</w:t>
                      </w:r>
                    </w:p>
                    <w:p w14:paraId="3425180B"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lang w:eastAsia="zh-CN"/>
                        </w:rPr>
                        <w:t xml:space="preserve">Note: Such </w:t>
                      </w:r>
                      <w:r w:rsidRPr="0036243D">
                        <w:rPr>
                          <w:rFonts w:ascii="Times New Roman" w:eastAsia="Malgun Gothic" w:hAnsi="Times New Roman" w:cs="Times New Roman"/>
                          <w:szCs w:val="20"/>
                        </w:rPr>
                        <w:t>RRC-configured</w:t>
                      </w:r>
                      <w:r w:rsidRPr="0036243D">
                        <w:rPr>
                          <w:rFonts w:ascii="Times New Roman" w:hAnsi="Times New Roman" w:cs="Times New Roman"/>
                          <w:szCs w:val="20"/>
                          <w:lang w:eastAsia="zh-CN"/>
                        </w:rPr>
                        <w:t xml:space="preserve"> TCI state pool(s) configuration doesn’t imply that separate DL/UL TCI state pool is excluded or supported</w:t>
                      </w:r>
                    </w:p>
                    <w:p w14:paraId="0E18301F"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absent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and replaced with a reference to RRC-configured TCI state pool(s) in a reference BWP/CC</w:t>
                      </w:r>
                    </w:p>
                    <w:p w14:paraId="50FACBBC"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of the reference BWP/CC, RRC-configured TCI state pool(s) shall be configured</w:t>
                      </w:r>
                    </w:p>
                    <w:p w14:paraId="4066C729" w14:textId="77777777" w:rsidR="00F80018" w:rsidRPr="0036243D" w:rsidRDefault="00F80018" w:rsidP="00F80018">
                      <w:pPr>
                        <w:numPr>
                          <w:ilvl w:val="1"/>
                          <w:numId w:val="27"/>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41F33DE5" w14:textId="77777777" w:rsidR="00F80018" w:rsidRPr="0036243D"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rPr>
                        <w:t>When the BWP/CC ID (</w:t>
                      </w:r>
                      <w:proofErr w:type="gramStart"/>
                      <w:r w:rsidRPr="0036243D">
                        <w:rPr>
                          <w:rFonts w:ascii="Times New Roman" w:hAnsi="Times New Roman" w:cs="Times New Roman"/>
                          <w:color w:val="FF0000"/>
                          <w:szCs w:val="20"/>
                        </w:rPr>
                        <w:t>i.e.</w:t>
                      </w:r>
                      <w:proofErr w:type="gramEnd"/>
                      <w:r w:rsidRPr="0036243D">
                        <w:rPr>
                          <w:rFonts w:ascii="Times New Roman" w:hAnsi="Times New Roman" w:cs="Times New Roman"/>
                          <w:color w:val="FF0000"/>
                          <w:szCs w:val="20"/>
                        </w:rPr>
                        <w:t xml:space="preserve"> </w:t>
                      </w:r>
                      <w:proofErr w:type="spellStart"/>
                      <w:r w:rsidRPr="0036243D">
                        <w:rPr>
                          <w:rFonts w:ascii="Times New Roman" w:hAnsi="Times New Roman" w:cs="Times New Roman"/>
                          <w:i/>
                          <w:color w:val="FF0000"/>
                          <w:szCs w:val="20"/>
                        </w:rPr>
                        <w:t>bwp</w:t>
                      </w:r>
                      <w:proofErr w:type="spellEnd"/>
                      <w:r w:rsidRPr="0036243D">
                        <w:rPr>
                          <w:rFonts w:ascii="Times New Roman" w:hAnsi="Times New Roman" w:cs="Times New Roman"/>
                          <w:i/>
                          <w:color w:val="FF0000"/>
                          <w:szCs w:val="20"/>
                        </w:rPr>
                        <w:t>-Id</w:t>
                      </w:r>
                      <w:r w:rsidRPr="0036243D">
                        <w:rPr>
                          <w:rFonts w:ascii="Times New Roman" w:hAnsi="Times New Roman" w:cs="Times New Roman"/>
                          <w:color w:val="FF0000"/>
                          <w:szCs w:val="20"/>
                        </w:rPr>
                        <w:t xml:space="preserve"> or </w:t>
                      </w:r>
                      <w:r w:rsidRPr="0036243D">
                        <w:rPr>
                          <w:rFonts w:ascii="Times New Roman" w:hAnsi="Times New Roman" w:cs="Times New Roman"/>
                          <w:i/>
                          <w:iCs/>
                          <w:szCs w:val="20"/>
                        </w:rPr>
                        <w:t>cell</w:t>
                      </w:r>
                      <w:r w:rsidRPr="0036243D">
                        <w:rPr>
                          <w:rFonts w:ascii="Times New Roman" w:hAnsi="Times New Roman" w:cs="Times New Roman"/>
                          <w:szCs w:val="20"/>
                        </w:rPr>
                        <w:t>) for QCL-Type A/D source RS in a </w:t>
                      </w:r>
                      <w:r w:rsidRPr="0036243D">
                        <w:rPr>
                          <w:rFonts w:ascii="Times New Roman" w:hAnsi="Times New Roman" w:cs="Times New Roman"/>
                          <w:i/>
                          <w:iCs/>
                          <w:szCs w:val="20"/>
                        </w:rPr>
                        <w:t>QCL-Info</w:t>
                      </w:r>
                      <w:r w:rsidRPr="0036243D">
                        <w:rPr>
                          <w:rFonts w:ascii="Times New Roman" w:hAnsi="Times New Roman" w:cs="Times New Roman"/>
                          <w:szCs w:val="20"/>
                        </w:rPr>
                        <w:t> of the TCI state is absent, the UE assumes that QCL-Type A/D source RS is in the BWP/CC to which the TCI state applies</w:t>
                      </w:r>
                    </w:p>
                    <w:p w14:paraId="4C325025" w14:textId="39E9F10C" w:rsidR="00F80018" w:rsidRPr="00F80018" w:rsidRDefault="00F80018" w:rsidP="00F80018">
                      <w:pPr>
                        <w:numPr>
                          <w:ilvl w:val="0"/>
                          <w:numId w:val="25"/>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txbxContent>
                </v:textbox>
                <w10:anchorlock/>
              </v:shape>
            </w:pict>
          </mc:Fallback>
        </mc:AlternateContent>
      </w:r>
    </w:p>
    <w:p w14:paraId="4DCD72AB" w14:textId="14B6C4EF" w:rsidR="00726BD5" w:rsidRDefault="00726BD5" w:rsidP="00F80018">
      <w:pPr>
        <w:pStyle w:val="BodyText"/>
        <w:rPr>
          <w:lang w:val="en-GB"/>
        </w:rPr>
      </w:pPr>
      <w:r>
        <w:rPr>
          <w:lang w:val="en-GB"/>
        </w:rPr>
        <w:t>However, in the running CR, the reference to a</w:t>
      </w:r>
      <w:r>
        <w:t xml:space="preserve">n </w:t>
      </w:r>
      <w:r w:rsidRPr="00726BD5">
        <w:rPr>
          <w:lang w:val="en-GB"/>
        </w:rPr>
        <w:t>RRC-configured TCI state pool in a reference BWP/CC</w:t>
      </w:r>
      <w:r>
        <w:rPr>
          <w:lang w:val="en-GB"/>
        </w:rPr>
        <w:t xml:space="preserve"> is missing. Therefore, we propose</w:t>
      </w:r>
    </w:p>
    <w:p w14:paraId="42ADD42C" w14:textId="0E70AE42" w:rsidR="00726BD5" w:rsidRDefault="00726BD5" w:rsidP="00726BD5">
      <w:pPr>
        <w:pStyle w:val="Proposal"/>
        <w:rPr>
          <w:lang w:val="en-GB"/>
        </w:rPr>
      </w:pPr>
      <w:bookmarkStart w:id="1" w:name="_Toc95760162"/>
      <w:r>
        <w:rPr>
          <w:lang w:val="en-GB"/>
        </w:rPr>
        <w:t>Include the reference to an RRC-configured TCI state pool in the list of RRC parameters.</w:t>
      </w:r>
      <w:bookmarkEnd w:id="1"/>
    </w:p>
    <w:p w14:paraId="13D9C596" w14:textId="06C263D9" w:rsidR="009A29ED" w:rsidRPr="00F80018" w:rsidRDefault="009A29ED" w:rsidP="009A29ED">
      <w:pPr>
        <w:pStyle w:val="BodyText"/>
        <w:rPr>
          <w:lang w:val="en-GB"/>
        </w:rPr>
      </w:pPr>
      <w:r>
        <w:rPr>
          <w:lang w:val="en-GB"/>
        </w:rPr>
        <w:t xml:space="preserve">We note that this option has been strongly challenged in RAN2, since it </w:t>
      </w:r>
      <w:proofErr w:type="gramStart"/>
      <w:r>
        <w:rPr>
          <w:lang w:val="en-GB"/>
        </w:rPr>
        <w:t>was considered to be</w:t>
      </w:r>
      <w:proofErr w:type="gramEnd"/>
      <w:r>
        <w:rPr>
          <w:lang w:val="en-GB"/>
        </w:rPr>
        <w:t xml:space="preserve"> an RRC-</w:t>
      </w:r>
      <w:proofErr w:type="spellStart"/>
      <w:r>
        <w:rPr>
          <w:lang w:val="en-GB"/>
        </w:rPr>
        <w:t>signaling</w:t>
      </w:r>
      <w:proofErr w:type="spellEnd"/>
      <w:r>
        <w:rPr>
          <w:lang w:val="en-GB"/>
        </w:rPr>
        <w:t xml:space="preserve"> detail, and beyond the RAN1 responsibility.</w:t>
      </w:r>
    </w:p>
    <w:p w14:paraId="5DB9549B" w14:textId="48B497A1" w:rsidR="00703E70" w:rsidRDefault="007D20EE" w:rsidP="0084285A">
      <w:pPr>
        <w:pStyle w:val="Heading3"/>
      </w:pPr>
      <w:r>
        <w:t>2.2.2</w:t>
      </w:r>
      <w:r>
        <w:tab/>
      </w:r>
      <w:r w:rsidR="00703E70">
        <w:t>TCI states in SRS config</w:t>
      </w:r>
    </w:p>
    <w:p w14:paraId="06CD0A7C" w14:textId="3C5B9BA3" w:rsidR="007D20EE" w:rsidRDefault="007D20EE" w:rsidP="007D20EE">
      <w:pPr>
        <w:pStyle w:val="BodyText"/>
      </w:pPr>
      <w:r>
        <w:t xml:space="preserve">In the running CR, RAN2 has introduced the parameter </w:t>
      </w:r>
      <w:r w:rsidRPr="007D20EE">
        <w:rPr>
          <w:i/>
          <w:iCs/>
        </w:rPr>
        <w:t>followUnifiedTCIstate-r17</w:t>
      </w:r>
      <w:r w:rsidR="00772568">
        <w:rPr>
          <w:i/>
          <w:iCs/>
        </w:rPr>
        <w:t xml:space="preserve"> </w:t>
      </w:r>
      <w:r w:rsidR="00772568">
        <w:t>in SRS-Config</w:t>
      </w:r>
      <w:r>
        <w:rPr>
          <w:i/>
          <w:iCs/>
        </w:rPr>
        <w:t xml:space="preserve">. </w:t>
      </w:r>
      <w:r>
        <w:t xml:space="preserve">The RAN1 intention is that an SRS resource/resource set can be configured </w:t>
      </w:r>
      <w:r w:rsidRPr="00A31E95">
        <w:rPr>
          <w:i/>
          <w:iCs/>
        </w:rPr>
        <w:t>not</w:t>
      </w:r>
      <w:r>
        <w:t xml:space="preserve"> to follow the indicated</w:t>
      </w:r>
      <w:r w:rsidR="00A31E95">
        <w:t xml:space="preserve"> TCI state, but instead follow a Rel-17 TCI state configured using Rel-15/16 mechanisms. However, this means it must be </w:t>
      </w:r>
      <w:r w:rsidR="00A31E95">
        <w:lastRenderedPageBreak/>
        <w:t xml:space="preserve">possible to signal a Rel-17 TCI state for an SRS resource, as in Rel-15/16. However, there is no Rel-17 TCI state in the SRS resource. We propose to </w:t>
      </w:r>
      <w:r w:rsidR="00CE2E48">
        <w:t xml:space="preserve">add </w:t>
      </w:r>
      <w:r w:rsidR="00A31E95">
        <w:t>this:</w:t>
      </w:r>
    </w:p>
    <w:p w14:paraId="2D30DE7C" w14:textId="5BB1632E" w:rsidR="00A31E95" w:rsidRPr="007D20EE" w:rsidRDefault="00A31E95" w:rsidP="00A31E95">
      <w:pPr>
        <w:pStyle w:val="Proposal"/>
      </w:pPr>
      <w:bookmarkStart w:id="2" w:name="_Toc95760163"/>
      <w:r>
        <w:t xml:space="preserve">Add a pointer to </w:t>
      </w:r>
      <w:r w:rsidR="0028267E">
        <w:t xml:space="preserve">a </w:t>
      </w:r>
      <w:r>
        <w:t xml:space="preserve">joint or </w:t>
      </w:r>
      <w:r w:rsidR="0028267E">
        <w:t xml:space="preserve">an </w:t>
      </w:r>
      <w:r>
        <w:t>UL TCI state</w:t>
      </w:r>
      <w:r w:rsidR="0028267E">
        <w:t xml:space="preserve"> in </w:t>
      </w:r>
      <w:r w:rsidR="0028267E" w:rsidRPr="0028267E">
        <w:t>SRS-Resource</w:t>
      </w:r>
      <w:r w:rsidR="0028267E">
        <w:t>.</w:t>
      </w:r>
      <w:bookmarkEnd w:id="2"/>
    </w:p>
    <w:p w14:paraId="158B1EEC" w14:textId="2174AE67" w:rsidR="00703E70" w:rsidRDefault="0028267E" w:rsidP="0084285A">
      <w:pPr>
        <w:pStyle w:val="Heading3"/>
      </w:pPr>
      <w:r>
        <w:t>2.2.3</w:t>
      </w:r>
      <w:r>
        <w:tab/>
      </w:r>
      <w:r w:rsidR="00703E70">
        <w:t xml:space="preserve">TCI state in </w:t>
      </w:r>
      <w:r w:rsidR="00772568" w:rsidRPr="00772568">
        <w:t>CSI-AssociatedReportConfigInfo</w:t>
      </w:r>
    </w:p>
    <w:p w14:paraId="7E84454A" w14:textId="31552294" w:rsidR="00CE2E48" w:rsidRDefault="00CE2E48" w:rsidP="00CE2E48">
      <w:pPr>
        <w:pStyle w:val="BodyText"/>
      </w:pPr>
      <w:r>
        <w:t xml:space="preserve">In the running CR, RAN2 has introduced the parameter </w:t>
      </w:r>
      <w:r w:rsidRPr="007D20EE">
        <w:rPr>
          <w:i/>
          <w:iCs/>
        </w:rPr>
        <w:t>followUnifiedTCIstate-r17</w:t>
      </w:r>
      <w:r>
        <w:rPr>
          <w:i/>
          <w:iCs/>
        </w:rPr>
        <w:t xml:space="preserve"> </w:t>
      </w:r>
      <w:r>
        <w:t xml:space="preserve">in </w:t>
      </w:r>
      <w:r w:rsidRPr="00CE2E48">
        <w:rPr>
          <w:i/>
          <w:iCs/>
        </w:rPr>
        <w:t>CSI-AssociatedReportConfigInfo</w:t>
      </w:r>
      <w:r>
        <w:rPr>
          <w:i/>
          <w:iCs/>
        </w:rPr>
        <w:t xml:space="preserve">. </w:t>
      </w:r>
      <w:r>
        <w:t xml:space="preserve">The RAN1 intention is that an aperiodic CS-Rs can be configured </w:t>
      </w:r>
      <w:r w:rsidRPr="00A31E95">
        <w:rPr>
          <w:i/>
          <w:iCs/>
        </w:rPr>
        <w:t>not</w:t>
      </w:r>
      <w:r>
        <w:t xml:space="preserve"> to follow the indicated TCI state, but instead follow a Rel-17 TCI state configured using Rel-15/16 mechanisms. However, this means it must be possible to signal a Rel-17 TCI state for an aperiodic CSI-RS resource. However, there is no Rel-17 TCI state in the </w:t>
      </w:r>
      <w:r w:rsidRPr="00CE2E48">
        <w:rPr>
          <w:i/>
          <w:iCs/>
        </w:rPr>
        <w:t>CSI-AssociatedReportConfigInfo</w:t>
      </w:r>
      <w:r>
        <w:t>. We propose to add this:</w:t>
      </w:r>
    </w:p>
    <w:p w14:paraId="16BC72F2" w14:textId="7E86CCD9" w:rsidR="0028267E" w:rsidRDefault="00CE2E48" w:rsidP="009A29ED">
      <w:pPr>
        <w:pStyle w:val="Proposal"/>
      </w:pPr>
      <w:bookmarkStart w:id="3" w:name="_Toc95760164"/>
      <w:r>
        <w:t xml:space="preserve">Include a list of pointers to joint TCI state(s) in </w:t>
      </w:r>
      <w:r w:rsidRPr="00CE2E48">
        <w:rPr>
          <w:i/>
          <w:iCs/>
        </w:rPr>
        <w:t>CSI-AssociatedReportConfigInfo</w:t>
      </w:r>
      <w:r>
        <w:t>.</w:t>
      </w:r>
      <w:bookmarkEnd w:id="3"/>
    </w:p>
    <w:p w14:paraId="287EED5A" w14:textId="1955DC2D" w:rsidR="00703E70" w:rsidRDefault="009A29ED" w:rsidP="0084285A">
      <w:pPr>
        <w:pStyle w:val="Heading3"/>
      </w:pPr>
      <w:r>
        <w:t>2.2.4</w:t>
      </w:r>
      <w:r>
        <w:tab/>
      </w:r>
      <w:r w:rsidR="00703E70">
        <w:t>TCI state in CSI-RS resource</w:t>
      </w:r>
    </w:p>
    <w:p w14:paraId="58166D76" w14:textId="79679BD6" w:rsidR="009A29ED" w:rsidRDefault="009A29ED" w:rsidP="009A29ED">
      <w:pPr>
        <w:pStyle w:val="BodyText"/>
      </w:pPr>
      <w:r>
        <w:t>RAN1 has agreed that a Rel-17 TCI state can be used as QCL source of a periodic CSI-RS. This is currently not included in the RAN2 running CR. Therefore, we propose</w:t>
      </w:r>
    </w:p>
    <w:p w14:paraId="6F721D35" w14:textId="38BB8F2E" w:rsidR="009A29ED" w:rsidRPr="007D20EE" w:rsidRDefault="009A29ED" w:rsidP="009A29ED">
      <w:pPr>
        <w:pStyle w:val="Proposal"/>
      </w:pPr>
      <w:bookmarkStart w:id="4" w:name="_Toc95760165"/>
      <w:r>
        <w:t>Add a pointer to a joint TCI state in an N</w:t>
      </w:r>
      <w:r w:rsidRPr="00D27132">
        <w:t>ZP-CSI-RS-Resource</w:t>
      </w:r>
      <w:r>
        <w:t>.</w:t>
      </w:r>
      <w:bookmarkEnd w:id="4"/>
    </w:p>
    <w:p w14:paraId="3560A7E9" w14:textId="77777777" w:rsidR="009A29ED" w:rsidRPr="009A29ED" w:rsidRDefault="009A29ED" w:rsidP="009A29ED">
      <w:pPr>
        <w:rPr>
          <w:lang w:val="en-GB" w:eastAsia="ja-JP"/>
        </w:rPr>
      </w:pPr>
    </w:p>
    <w:p w14:paraId="5D798422" w14:textId="65F6A7DA" w:rsidR="0099551C" w:rsidRDefault="0099551C" w:rsidP="0084285A">
      <w:pPr>
        <w:pStyle w:val="Heading3"/>
      </w:pPr>
      <w:r>
        <w:t>2.2.5</w:t>
      </w:r>
      <w:r>
        <w:tab/>
      </w:r>
      <w:r w:rsidR="00776506" w:rsidRPr="00776506">
        <w:t>SSB-MTCAdditionalPCI-r17</w:t>
      </w:r>
    </w:p>
    <w:p w14:paraId="72C11C99" w14:textId="498608A3" w:rsidR="00776506" w:rsidRDefault="00776506" w:rsidP="00776506">
      <w:pPr>
        <w:pStyle w:val="BodyText"/>
      </w:pPr>
      <w:r>
        <w:t xml:space="preserve">RAN2 has introduced the IE </w:t>
      </w:r>
      <w:r w:rsidRPr="00776506">
        <w:t>SSB-MTCAdditionalPCI-r17</w:t>
      </w:r>
      <w:r>
        <w:t>. This IE is used both for inter-cell mTRP, as well as inter-cell beam management. RAN1 made the following related agreement:</w:t>
      </w:r>
    </w:p>
    <w:p w14:paraId="7B8B883E" w14:textId="77777777" w:rsidR="00776506" w:rsidRDefault="00776506" w:rsidP="00776506">
      <w:pPr>
        <w:pStyle w:val="BodyText"/>
        <w:rPr>
          <w:lang w:val="en-GB"/>
        </w:rPr>
      </w:pPr>
      <w:r>
        <w:rPr>
          <w:noProof/>
          <w:lang w:val="en-GB"/>
        </w:rPr>
        <mc:AlternateContent>
          <mc:Choice Requires="wps">
            <w:drawing>
              <wp:inline distT="0" distB="0" distL="0" distR="0" wp14:anchorId="32F6BC8B" wp14:editId="3EABEA73">
                <wp:extent cx="6604000" cy="825500"/>
                <wp:effectExtent l="0" t="0" r="25400" b="24765"/>
                <wp:docPr id="3" name="Text Box 3"/>
                <wp:cNvGraphicFramePr/>
                <a:graphic xmlns:a="http://schemas.openxmlformats.org/drawingml/2006/main">
                  <a:graphicData uri="http://schemas.microsoft.com/office/word/2010/wordprocessingShape">
                    <wps:wsp>
                      <wps:cNvSpPr txBox="1"/>
                      <wps:spPr>
                        <a:xfrm>
                          <a:off x="0" y="0"/>
                          <a:ext cx="6604000" cy="825500"/>
                        </a:xfrm>
                        <a:prstGeom prst="rect">
                          <a:avLst/>
                        </a:prstGeom>
                        <a:solidFill>
                          <a:schemeClr val="lt1"/>
                        </a:solidFill>
                        <a:ln w="6350">
                          <a:solidFill>
                            <a:prstClr val="black"/>
                          </a:solidFill>
                        </a:ln>
                      </wps:spPr>
                      <wps:txbx>
                        <w:txbxContent>
                          <w:p w14:paraId="74890750" w14:textId="77777777" w:rsidR="00776506" w:rsidRPr="0069295A" w:rsidRDefault="00776506" w:rsidP="00776506">
                            <w:pPr>
                              <w:spacing w:after="0"/>
                              <w:rPr>
                                <w:rFonts w:ascii="Times" w:eastAsia="Malgun Gothic" w:hAnsi="Times" w:cs="Times"/>
                                <w:b/>
                                <w:bCs/>
                                <w:iCs/>
                                <w:szCs w:val="24"/>
                                <w:highlight w:val="green"/>
                                <w:lang w:val="en-GB" w:eastAsia="zh-CN"/>
                              </w:rPr>
                            </w:pPr>
                            <w:r w:rsidRPr="0069295A">
                              <w:rPr>
                                <w:rFonts w:ascii="Times" w:eastAsia="Malgun Gothic" w:hAnsi="Times" w:cs="Times"/>
                                <w:b/>
                                <w:bCs/>
                                <w:iCs/>
                                <w:szCs w:val="24"/>
                                <w:highlight w:val="green"/>
                                <w:lang w:val="en-GB" w:eastAsia="zh-CN"/>
                              </w:rPr>
                              <w:t>Agreement</w:t>
                            </w:r>
                          </w:p>
                          <w:p w14:paraId="47EA821F" w14:textId="77777777" w:rsidR="00776506" w:rsidRPr="0069295A" w:rsidRDefault="00776506" w:rsidP="00776506">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0A8EB50F" w14:textId="77777777" w:rsidR="00776506" w:rsidRPr="0069295A" w:rsidRDefault="00776506" w:rsidP="00776506">
                            <w:pPr>
                              <w:numPr>
                                <w:ilvl w:val="0"/>
                                <w:numId w:val="25"/>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1FC4B31A" w14:textId="77777777" w:rsidR="00776506" w:rsidRPr="0069295A" w:rsidRDefault="00776506" w:rsidP="00776506">
                            <w:pPr>
                              <w:numPr>
                                <w:ilvl w:val="0"/>
                                <w:numId w:val="25"/>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2E869193" w14:textId="637C1E2B" w:rsidR="00776506" w:rsidRPr="00776506" w:rsidRDefault="00776506" w:rsidP="00776506">
                            <w:pPr>
                              <w:numPr>
                                <w:ilvl w:val="0"/>
                                <w:numId w:val="25"/>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F6BC8B" id="Text Box 3" o:spid="_x0000_s1027" type="#_x0000_t202" style="width:520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" fillcolor="white [3201]" strokeweight=".5pt">
                <v:textbox style="mso-fit-shape-to-text:t">
                  <w:txbxContent>
                    <w:p w14:paraId="74890750" w14:textId="77777777" w:rsidR="00776506" w:rsidRPr="0069295A" w:rsidRDefault="00776506" w:rsidP="00776506">
                      <w:pPr>
                        <w:spacing w:after="0"/>
                        <w:rPr>
                          <w:rFonts w:ascii="Times" w:eastAsia="Malgun Gothic" w:hAnsi="Times" w:cs="Times"/>
                          <w:b/>
                          <w:bCs/>
                          <w:iCs/>
                          <w:szCs w:val="24"/>
                          <w:highlight w:val="green"/>
                          <w:lang w:val="en-GB" w:eastAsia="zh-CN"/>
                        </w:rPr>
                      </w:pPr>
                      <w:r w:rsidRPr="0069295A">
                        <w:rPr>
                          <w:rFonts w:ascii="Times" w:eastAsia="Malgun Gothic" w:hAnsi="Times" w:cs="Times"/>
                          <w:b/>
                          <w:bCs/>
                          <w:iCs/>
                          <w:szCs w:val="24"/>
                          <w:highlight w:val="green"/>
                          <w:lang w:val="en-GB" w:eastAsia="zh-CN"/>
                        </w:rPr>
                        <w:t>Agreement</w:t>
                      </w:r>
                    </w:p>
                    <w:p w14:paraId="47EA821F" w14:textId="77777777" w:rsidR="00776506" w:rsidRPr="0069295A" w:rsidRDefault="00776506" w:rsidP="00776506">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0A8EB50F" w14:textId="77777777" w:rsidR="00776506" w:rsidRPr="0069295A" w:rsidRDefault="00776506" w:rsidP="00776506">
                      <w:pPr>
                        <w:numPr>
                          <w:ilvl w:val="0"/>
                          <w:numId w:val="25"/>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1FC4B31A" w14:textId="77777777" w:rsidR="00776506" w:rsidRPr="0069295A" w:rsidRDefault="00776506" w:rsidP="00776506">
                      <w:pPr>
                        <w:numPr>
                          <w:ilvl w:val="0"/>
                          <w:numId w:val="25"/>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2E869193" w14:textId="637C1E2B" w:rsidR="00776506" w:rsidRPr="00776506" w:rsidRDefault="00776506" w:rsidP="00776506">
                      <w:pPr>
                        <w:numPr>
                          <w:ilvl w:val="0"/>
                          <w:numId w:val="25"/>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txbxContent>
                </v:textbox>
                <w10:anchorlock/>
              </v:shape>
            </w:pict>
          </mc:Fallback>
        </mc:AlternateContent>
      </w:r>
    </w:p>
    <w:p w14:paraId="40F312E8" w14:textId="70042546" w:rsidR="008A2C62" w:rsidRDefault="00776506" w:rsidP="00776506">
      <w:pPr>
        <w:pStyle w:val="BodyText"/>
      </w:pPr>
      <w:r>
        <w:t xml:space="preserve">The SSB time domain position and periodicity </w:t>
      </w:r>
      <w:r w:rsidR="008A2C62">
        <w:t>are</w:t>
      </w:r>
      <w:r>
        <w:t xml:space="preserve"> needed to perform rate matching, whereas the SSB transmission power is needed to perform UL power control. </w:t>
      </w:r>
      <w:r w:rsidR="008A2C62">
        <w:t xml:space="preserve">Here we note that the “SSB time domain position” should also include the SSB transmission offset: otherwise, it is not possible to derive the time domain positions of the SSBs. </w:t>
      </w:r>
    </w:p>
    <w:p w14:paraId="6A16E530" w14:textId="69297FC3" w:rsidR="008A2C62" w:rsidRDefault="008A2C62" w:rsidP="00776506">
      <w:pPr>
        <w:pStyle w:val="BodyText"/>
      </w:pPr>
      <w:r>
        <w:t>In the running CR, the SSB transmission offset and the SSB transmission power are missing. We propose to add them:</w:t>
      </w:r>
    </w:p>
    <w:p w14:paraId="3C6C4325" w14:textId="1028CE43" w:rsidR="008A2C62" w:rsidRDefault="008A2C62" w:rsidP="008A2C62">
      <w:pPr>
        <w:pStyle w:val="Proposal"/>
      </w:pPr>
      <w:bookmarkStart w:id="5" w:name="_Toc95760166"/>
      <w:r>
        <w:t xml:space="preserve">The SSB transmission </w:t>
      </w:r>
      <w:r w:rsidR="00012BF9">
        <w:t>offset,</w:t>
      </w:r>
      <w:r>
        <w:t xml:space="preserve"> and transmission power are added to </w:t>
      </w:r>
      <w:r w:rsidRPr="00776506">
        <w:t>SSB-MTCAdditionalPCI-r17</w:t>
      </w:r>
      <w:r>
        <w:t>.</w:t>
      </w:r>
      <w:bookmarkEnd w:id="5"/>
      <w:r>
        <w:t xml:space="preserve"> </w:t>
      </w:r>
    </w:p>
    <w:p w14:paraId="1C59CE65" w14:textId="0D8F7597" w:rsidR="00776506" w:rsidRDefault="008A2C62" w:rsidP="00776506">
      <w:pPr>
        <w:pStyle w:val="BodyText"/>
      </w:pPr>
      <w:r>
        <w:t xml:space="preserve">We also note that the maximum length of </w:t>
      </w:r>
      <w:r w:rsidRPr="008A2C62">
        <w:t>SSB-MTCAdditionalPCIList-r17</w:t>
      </w:r>
      <w:r>
        <w:t xml:space="preserve"> is missing. During the RAN1 discussion, it has become clear that the maximum length of the list is 7:</w:t>
      </w:r>
    </w:p>
    <w:p w14:paraId="3680FDA5" w14:textId="7BC166DE" w:rsidR="008A2C62" w:rsidRDefault="008A2C62" w:rsidP="00776506">
      <w:pPr>
        <w:pStyle w:val="Proposal"/>
      </w:pPr>
      <w:bookmarkStart w:id="6" w:name="_Toc95760167"/>
      <w:r w:rsidRPr="008A2C62">
        <w:t xml:space="preserve">maxNrofAddionalPCI-r17 </w:t>
      </w:r>
      <w:r>
        <w:t>is 7.</w:t>
      </w:r>
      <w:bookmarkEnd w:id="6"/>
      <w:r>
        <w:t xml:space="preserve"> </w:t>
      </w:r>
    </w:p>
    <w:p w14:paraId="10006D75" w14:textId="20DF2B7B" w:rsidR="008A2C62" w:rsidRDefault="008A2C62" w:rsidP="00776506">
      <w:pPr>
        <w:pStyle w:val="BodyText"/>
      </w:pPr>
      <w:r>
        <w:t>On the finer details of the proposed RRC implementation we note that</w:t>
      </w:r>
    </w:p>
    <w:p w14:paraId="2C93D9F6" w14:textId="51C4EC8B" w:rsidR="008A2C62" w:rsidRDefault="008A2C62" w:rsidP="008A2C62">
      <w:pPr>
        <w:pStyle w:val="BodyText"/>
        <w:numPr>
          <w:ilvl w:val="0"/>
          <w:numId w:val="30"/>
        </w:numPr>
      </w:pPr>
      <w:r>
        <w:t xml:space="preserve">The properties of the additional PCIs are not related to the SMTC window. Hence, placing this </w:t>
      </w:r>
      <w:r w:rsidR="00012BF9">
        <w:t>IE together with SMTC IEs is less natural.</w:t>
      </w:r>
    </w:p>
    <w:p w14:paraId="706E61A6" w14:textId="55A50D9F" w:rsidR="00012BF9" w:rsidRDefault="00012BF9" w:rsidP="00776506">
      <w:pPr>
        <w:pStyle w:val="BodyText"/>
        <w:numPr>
          <w:ilvl w:val="0"/>
          <w:numId w:val="30"/>
        </w:numPr>
      </w:pPr>
      <w:r w:rsidRPr="00776506">
        <w:t>SSB-MTCAdditionalPCI-r17</w:t>
      </w:r>
      <w:r>
        <w:t xml:space="preserve"> contains the field </w:t>
      </w:r>
      <w:r>
        <w:br/>
      </w:r>
    </w:p>
    <w:p w14:paraId="39B04387" w14:textId="09517414" w:rsidR="00012BF9" w:rsidRDefault="00012BF9" w:rsidP="00012BF9">
      <w:pPr>
        <w:pStyle w:val="PL"/>
        <w:ind w:left="360"/>
        <w:rPr>
          <w:color w:val="808080"/>
        </w:rPr>
      </w:pPr>
      <w:r>
        <w:t xml:space="preserve">    ssb-ToMeasure-r16                   SetupRelease { SSB-ToMeasure }                                      </w:t>
      </w:r>
    </w:p>
    <w:p w14:paraId="472B4C39" w14:textId="77777777" w:rsidR="00012BF9" w:rsidRDefault="00012BF9" w:rsidP="00012BF9">
      <w:pPr>
        <w:pStyle w:val="PL"/>
        <w:ind w:left="360"/>
      </w:pPr>
    </w:p>
    <w:p w14:paraId="326B7715" w14:textId="26E45A3F" w:rsidR="008A2C62" w:rsidRDefault="00012BF9" w:rsidP="00012BF9">
      <w:pPr>
        <w:pStyle w:val="BodyText"/>
        <w:ind w:left="720"/>
      </w:pPr>
      <w:r>
        <w:br/>
        <w:t xml:space="preserve">which in turn contains a list of SSB time domain positions. This is the correct information, but the name </w:t>
      </w:r>
      <w:r>
        <w:lastRenderedPageBreak/>
        <w:t xml:space="preserve">is unfortunate, since the main purpose of providing the SSB pattern is not measurements. Perhaps the field name </w:t>
      </w:r>
      <w:proofErr w:type="spellStart"/>
      <w:r w:rsidRPr="00012BF9">
        <w:t>ssb-PositionsInBurst</w:t>
      </w:r>
      <w:proofErr w:type="spellEnd"/>
      <w:r>
        <w:t xml:space="preserve"> would be more appropriate.</w:t>
      </w:r>
    </w:p>
    <w:p w14:paraId="01DA32C9" w14:textId="343F3746" w:rsidR="004C2F96" w:rsidRDefault="0097563E" w:rsidP="0097563E">
      <w:pPr>
        <w:pStyle w:val="Proposal"/>
      </w:pPr>
      <w:bookmarkStart w:id="7" w:name="_Toc95760168"/>
      <w:r>
        <w:t>Change the field name</w:t>
      </w:r>
      <w:r w:rsidR="00907CE9">
        <w:t xml:space="preserve"> </w:t>
      </w:r>
      <w:proofErr w:type="spellStart"/>
      <w:r>
        <w:t>ssb-ToMeasure</w:t>
      </w:r>
      <w:proofErr w:type="spellEnd"/>
      <w:r>
        <w:t xml:space="preserve"> to </w:t>
      </w:r>
      <w:proofErr w:type="spellStart"/>
      <w:r>
        <w:t>ssb-PositionInBurst</w:t>
      </w:r>
      <w:proofErr w:type="spellEnd"/>
      <w:r>
        <w:t xml:space="preserve"> in </w:t>
      </w:r>
      <w:r w:rsidRPr="00776506">
        <w:t>SSB-MTCAdditionalPCI-r17</w:t>
      </w:r>
      <w:r>
        <w:t>.</w:t>
      </w:r>
      <w:bookmarkEnd w:id="7"/>
    </w:p>
    <w:p w14:paraId="7D91EC5D" w14:textId="27248E5E" w:rsidR="006E1C82" w:rsidRPr="00012BF9" w:rsidRDefault="00C01F33" w:rsidP="00012BF9">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B8378C" w14:textId="1EAD0E3E" w:rsidR="003E1A20"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95760162" w:history="1">
        <w:r w:rsidR="003E1A20" w:rsidRPr="00CC2D51">
          <w:rPr>
            <w:rStyle w:val="Hyperlink"/>
            <w:noProof/>
            <w:lang w:val="en-GB"/>
          </w:rPr>
          <w:t>Proposal 1</w:t>
        </w:r>
        <w:r w:rsidR="003E1A20">
          <w:rPr>
            <w:rFonts w:asciiTheme="minorHAnsi" w:eastAsiaTheme="minorEastAsia" w:hAnsiTheme="minorHAnsi"/>
            <w:b w:val="0"/>
            <w:noProof/>
            <w:sz w:val="22"/>
            <w:lang w:eastAsia="en-US"/>
          </w:rPr>
          <w:tab/>
        </w:r>
        <w:r w:rsidR="003E1A20" w:rsidRPr="00CC2D51">
          <w:rPr>
            <w:rStyle w:val="Hyperlink"/>
            <w:noProof/>
            <w:lang w:val="en-GB"/>
          </w:rPr>
          <w:t>Include the reference to an RRC-configured TCI state pool in the list of RRC parameters.</w:t>
        </w:r>
      </w:hyperlink>
    </w:p>
    <w:p w14:paraId="5837B64C" w14:textId="00BA9843"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3" w:history="1">
        <w:r w:rsidRPr="00CC2D51">
          <w:rPr>
            <w:rStyle w:val="Hyperlink"/>
            <w:noProof/>
          </w:rPr>
          <w:t>Proposal 2</w:t>
        </w:r>
        <w:r>
          <w:rPr>
            <w:rFonts w:asciiTheme="minorHAnsi" w:eastAsiaTheme="minorEastAsia" w:hAnsiTheme="minorHAnsi"/>
            <w:b w:val="0"/>
            <w:noProof/>
            <w:sz w:val="22"/>
            <w:lang w:eastAsia="en-US"/>
          </w:rPr>
          <w:tab/>
        </w:r>
        <w:r w:rsidRPr="00CC2D51">
          <w:rPr>
            <w:rStyle w:val="Hyperlink"/>
            <w:noProof/>
          </w:rPr>
          <w:t>Add a pointer to a joint or an UL TCI state in SRS-Resource.</w:t>
        </w:r>
      </w:hyperlink>
    </w:p>
    <w:p w14:paraId="6C59638A" w14:textId="10051B4A"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4" w:history="1">
        <w:r w:rsidRPr="00CC2D51">
          <w:rPr>
            <w:rStyle w:val="Hyperlink"/>
            <w:noProof/>
          </w:rPr>
          <w:t>Proposal 3</w:t>
        </w:r>
        <w:r>
          <w:rPr>
            <w:rFonts w:asciiTheme="minorHAnsi" w:eastAsiaTheme="minorEastAsia" w:hAnsiTheme="minorHAnsi"/>
            <w:b w:val="0"/>
            <w:noProof/>
            <w:sz w:val="22"/>
            <w:lang w:eastAsia="en-US"/>
          </w:rPr>
          <w:tab/>
        </w:r>
        <w:r w:rsidRPr="00CC2D51">
          <w:rPr>
            <w:rStyle w:val="Hyperlink"/>
            <w:noProof/>
          </w:rPr>
          <w:t xml:space="preserve">Include a list of pointers to joint TCI state(s) in </w:t>
        </w:r>
        <w:r w:rsidRPr="00CC2D51">
          <w:rPr>
            <w:rStyle w:val="Hyperlink"/>
            <w:i/>
            <w:iCs/>
            <w:noProof/>
          </w:rPr>
          <w:t>CSI-AssociatedReportConfigInfo</w:t>
        </w:r>
        <w:r w:rsidRPr="00CC2D51">
          <w:rPr>
            <w:rStyle w:val="Hyperlink"/>
            <w:noProof/>
          </w:rPr>
          <w:t>.</w:t>
        </w:r>
      </w:hyperlink>
    </w:p>
    <w:p w14:paraId="3C4C8E7C" w14:textId="7BDB1B6D"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5" w:history="1">
        <w:r w:rsidRPr="00CC2D51">
          <w:rPr>
            <w:rStyle w:val="Hyperlink"/>
            <w:noProof/>
          </w:rPr>
          <w:t>Proposal 4</w:t>
        </w:r>
        <w:r>
          <w:rPr>
            <w:rFonts w:asciiTheme="minorHAnsi" w:eastAsiaTheme="minorEastAsia" w:hAnsiTheme="minorHAnsi"/>
            <w:b w:val="0"/>
            <w:noProof/>
            <w:sz w:val="22"/>
            <w:lang w:eastAsia="en-US"/>
          </w:rPr>
          <w:tab/>
        </w:r>
        <w:r w:rsidRPr="00CC2D51">
          <w:rPr>
            <w:rStyle w:val="Hyperlink"/>
            <w:noProof/>
          </w:rPr>
          <w:t>Add a pointer to a joint TCI state in an NZP-CSI-RS-Resource.</w:t>
        </w:r>
      </w:hyperlink>
    </w:p>
    <w:p w14:paraId="6002ED82" w14:textId="769AEBFE"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6" w:history="1">
        <w:r w:rsidRPr="00CC2D51">
          <w:rPr>
            <w:rStyle w:val="Hyperlink"/>
            <w:noProof/>
          </w:rPr>
          <w:t>Proposal 5</w:t>
        </w:r>
        <w:r>
          <w:rPr>
            <w:rFonts w:asciiTheme="minorHAnsi" w:eastAsiaTheme="minorEastAsia" w:hAnsiTheme="minorHAnsi"/>
            <w:b w:val="0"/>
            <w:noProof/>
            <w:sz w:val="22"/>
            <w:lang w:eastAsia="en-US"/>
          </w:rPr>
          <w:tab/>
        </w:r>
        <w:r w:rsidRPr="00CC2D51">
          <w:rPr>
            <w:rStyle w:val="Hyperlink"/>
            <w:noProof/>
          </w:rPr>
          <w:t>The SSB transmission offset, and transmission power are added to SSB-MTCAdditionalPCI-r17.</w:t>
        </w:r>
      </w:hyperlink>
    </w:p>
    <w:p w14:paraId="6B5E727C" w14:textId="619E3623"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7" w:history="1">
        <w:r w:rsidRPr="00CC2D51">
          <w:rPr>
            <w:rStyle w:val="Hyperlink"/>
            <w:noProof/>
          </w:rPr>
          <w:t>Proposal 6</w:t>
        </w:r>
        <w:r>
          <w:rPr>
            <w:rFonts w:asciiTheme="minorHAnsi" w:eastAsiaTheme="minorEastAsia" w:hAnsiTheme="minorHAnsi"/>
            <w:b w:val="0"/>
            <w:noProof/>
            <w:sz w:val="22"/>
            <w:lang w:eastAsia="en-US"/>
          </w:rPr>
          <w:tab/>
        </w:r>
        <w:r w:rsidRPr="00CC2D51">
          <w:rPr>
            <w:rStyle w:val="Hyperlink"/>
            <w:noProof/>
          </w:rPr>
          <w:t>maxNrofAddionalPCI-r17 is 7.</w:t>
        </w:r>
      </w:hyperlink>
    </w:p>
    <w:p w14:paraId="215AEC38" w14:textId="5FAE3C7C" w:rsidR="003E1A20" w:rsidRDefault="003E1A20">
      <w:pPr>
        <w:pStyle w:val="TableofFigures"/>
        <w:tabs>
          <w:tab w:val="right" w:leader="dot" w:pos="9629"/>
        </w:tabs>
        <w:rPr>
          <w:rFonts w:asciiTheme="minorHAnsi" w:eastAsiaTheme="minorEastAsia" w:hAnsiTheme="minorHAnsi"/>
          <w:b w:val="0"/>
          <w:noProof/>
          <w:sz w:val="22"/>
          <w:lang w:eastAsia="en-US"/>
        </w:rPr>
      </w:pPr>
      <w:hyperlink w:anchor="_Toc95760168" w:history="1">
        <w:r w:rsidRPr="00CC2D51">
          <w:rPr>
            <w:rStyle w:val="Hyperlink"/>
            <w:noProof/>
          </w:rPr>
          <w:t>Proposal 7</w:t>
        </w:r>
        <w:r>
          <w:rPr>
            <w:rFonts w:asciiTheme="minorHAnsi" w:eastAsiaTheme="minorEastAsia" w:hAnsiTheme="minorHAnsi"/>
            <w:b w:val="0"/>
            <w:noProof/>
            <w:sz w:val="22"/>
            <w:lang w:eastAsia="en-US"/>
          </w:rPr>
          <w:tab/>
        </w:r>
        <w:r w:rsidRPr="00CC2D51">
          <w:rPr>
            <w:rStyle w:val="Hyperlink"/>
            <w:noProof/>
          </w:rPr>
          <w:t>Change the field name ssb-ToMeasure to ssb-PositionInBurst in SSB-MTCAdditionalPCI-r17.</w:t>
        </w:r>
      </w:hyperlink>
    </w:p>
    <w:p w14:paraId="74A77E7E" w14:textId="3824ECD9" w:rsidR="00311702" w:rsidRPr="00012BF9" w:rsidRDefault="006E1C82" w:rsidP="00012BF9">
      <w:pPr>
        <w:pStyle w:val="BodyText"/>
        <w:rPr>
          <w:b/>
        </w:rPr>
      </w:pPr>
      <w:r>
        <w:rPr>
          <w:b/>
          <w:bCs/>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8" w:name="_In-sequence_SDU_delivery"/>
      <w:bookmarkEnd w:id="8"/>
      <w:r w:rsidRPr="00CE0424">
        <w:t>References</w:t>
      </w:r>
    </w:p>
    <w:p w14:paraId="707C9048" w14:textId="6CE8F911" w:rsidR="00F9375E" w:rsidRDefault="00F9375E" w:rsidP="00F9375E">
      <w:pPr>
        <w:pStyle w:val="Reference"/>
        <w:snapToGrid w:val="0"/>
        <w:jc w:val="left"/>
      </w:pPr>
      <w:bookmarkStart w:id="9" w:name="_Ref95386730"/>
      <w:bookmarkStart w:id="10" w:name="_Ref95386584"/>
      <w:bookmarkStart w:id="11" w:name="_Ref174151459"/>
      <w:bookmarkStart w:id="12" w:name="_Ref189809556"/>
      <w:r w:rsidRPr="000E2D27">
        <w:t>R1-2200887</w:t>
      </w:r>
      <w:r>
        <w:t xml:space="preserve">, </w:t>
      </w:r>
      <w:r w:rsidRPr="000E2D27">
        <w:t>LS on feMIMO RRC parameters</w:t>
      </w:r>
      <w:r>
        <w:t>, RAN2, January 2022</w:t>
      </w:r>
      <w:bookmarkEnd w:id="9"/>
    </w:p>
    <w:p w14:paraId="40A7FD2F" w14:textId="59195A9E" w:rsidR="00F9375E" w:rsidRDefault="00F9375E" w:rsidP="00F9375E">
      <w:pPr>
        <w:pStyle w:val="Reference"/>
        <w:snapToGrid w:val="0"/>
        <w:jc w:val="left"/>
      </w:pPr>
      <w:bookmarkStart w:id="13" w:name="_Ref95477896"/>
      <w:r w:rsidRPr="00F9375E">
        <w:t>R1-2201628</w:t>
      </w:r>
      <w:r>
        <w:t xml:space="preserve">, </w:t>
      </w:r>
      <w:r w:rsidRPr="00F9375E">
        <w:t xml:space="preserve">Draft </w:t>
      </w:r>
      <w:proofErr w:type="gramStart"/>
      <w:r w:rsidRPr="00F9375E">
        <w:t>reply</w:t>
      </w:r>
      <w:proofErr w:type="gramEnd"/>
      <w:r w:rsidRPr="00F9375E">
        <w:t xml:space="preserve"> LS on feMIMO RRC parameters</w:t>
      </w:r>
      <w:r>
        <w:t>, Ericsson, February 2022</w:t>
      </w:r>
      <w:bookmarkEnd w:id="13"/>
    </w:p>
    <w:p w14:paraId="1A1EFDFD" w14:textId="77777777" w:rsidR="00F9375E" w:rsidRDefault="00F9375E" w:rsidP="00F9375E">
      <w:pPr>
        <w:pStyle w:val="Reference"/>
        <w:snapToGrid w:val="0"/>
        <w:jc w:val="left"/>
      </w:pPr>
      <w:bookmarkStart w:id="14" w:name="_Ref95479126"/>
      <w:r w:rsidRPr="001B3009">
        <w:t>R2-2202000</w:t>
      </w:r>
      <w:r>
        <w:t xml:space="preserve">, </w:t>
      </w:r>
      <w:r w:rsidRPr="001B3009">
        <w:t>Running RRC CR for FeMIMO Rel-17</w:t>
      </w:r>
      <w:r>
        <w:t>, Ericsson, February 2022</w:t>
      </w:r>
      <w:bookmarkEnd w:id="10"/>
      <w:bookmarkEnd w:id="14"/>
    </w:p>
    <w:bookmarkEnd w:id="11"/>
    <w:bookmarkEnd w:id="12"/>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F230" w14:textId="77777777" w:rsidR="00C616DF" w:rsidRDefault="00C616DF">
      <w:r>
        <w:separator/>
      </w:r>
    </w:p>
  </w:endnote>
  <w:endnote w:type="continuationSeparator" w:id="0">
    <w:p w14:paraId="3A6411FF" w14:textId="77777777" w:rsidR="00C616DF" w:rsidRDefault="00C616DF">
      <w:r>
        <w:continuationSeparator/>
      </w:r>
    </w:p>
  </w:endnote>
  <w:endnote w:type="continuationNotice" w:id="1">
    <w:p w14:paraId="7769D72A" w14:textId="77777777" w:rsidR="00C616DF" w:rsidRDefault="00C61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163B" w14:textId="77777777" w:rsidR="00C616DF" w:rsidRDefault="00C616DF">
      <w:r>
        <w:separator/>
      </w:r>
    </w:p>
  </w:footnote>
  <w:footnote w:type="continuationSeparator" w:id="0">
    <w:p w14:paraId="40F95E7B" w14:textId="77777777" w:rsidR="00C616DF" w:rsidRDefault="00C616DF">
      <w:r>
        <w:continuationSeparator/>
      </w:r>
    </w:p>
  </w:footnote>
  <w:footnote w:type="continuationNotice" w:id="1">
    <w:p w14:paraId="5A421DA5" w14:textId="77777777" w:rsidR="00C616DF" w:rsidRDefault="00C616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00AD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E7D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B427318"/>
    <w:multiLevelType w:val="hybridMultilevel"/>
    <w:tmpl w:val="2568698C"/>
    <w:lvl w:ilvl="0" w:tplc="8DE61AA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F17275"/>
    <w:multiLevelType w:val="hybridMultilevel"/>
    <w:tmpl w:val="9468C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271E8D"/>
    <w:multiLevelType w:val="multilevel"/>
    <w:tmpl w:val="3B0CBD98"/>
    <w:lvl w:ilvl="0">
      <w:start w:val="1"/>
      <w:numFmt w:val="decimal"/>
      <w:lvlText w:val="%1."/>
      <w:lvlJc w:val="left"/>
      <w:pPr>
        <w:ind w:left="780" w:hanging="360"/>
      </w:pPr>
    </w:lvl>
    <w:lvl w:ilvl="1">
      <w:start w:val="2"/>
      <w:numFmt w:val="decimal"/>
      <w:isLgl/>
      <w:lvlText w:val="%1.%2"/>
      <w:lvlJc w:val="left"/>
      <w:pPr>
        <w:ind w:left="1550" w:hanging="1130"/>
      </w:pPr>
      <w:rPr>
        <w:rFonts w:hint="default"/>
      </w:rPr>
    </w:lvl>
    <w:lvl w:ilvl="2">
      <w:start w:val="1"/>
      <w:numFmt w:val="decimal"/>
      <w:isLgl/>
      <w:lvlText w:val="%1.%2.%3"/>
      <w:lvlJc w:val="left"/>
      <w:pPr>
        <w:ind w:left="1550" w:hanging="1130"/>
      </w:pPr>
      <w:rPr>
        <w:rFonts w:hint="default"/>
      </w:rPr>
    </w:lvl>
    <w:lvl w:ilvl="3">
      <w:start w:val="1"/>
      <w:numFmt w:val="decimal"/>
      <w:isLgl/>
      <w:lvlText w:val="%1.%2.%3.%4"/>
      <w:lvlJc w:val="left"/>
      <w:pPr>
        <w:ind w:left="1550" w:hanging="1130"/>
      </w:pPr>
      <w:rPr>
        <w:rFonts w:hint="default"/>
      </w:rPr>
    </w:lvl>
    <w:lvl w:ilvl="4">
      <w:start w:val="1"/>
      <w:numFmt w:val="decimal"/>
      <w:isLgl/>
      <w:lvlText w:val="%1.%2.%3.%4.%5"/>
      <w:lvlJc w:val="left"/>
      <w:pPr>
        <w:ind w:left="1550" w:hanging="1130"/>
      </w:pPr>
      <w:rPr>
        <w:rFonts w:hint="default"/>
      </w:rPr>
    </w:lvl>
    <w:lvl w:ilvl="5">
      <w:start w:val="1"/>
      <w:numFmt w:val="decimal"/>
      <w:isLgl/>
      <w:lvlText w:val="%1.%2.%3.%4.%5.%6"/>
      <w:lvlJc w:val="left"/>
      <w:pPr>
        <w:ind w:left="1550" w:hanging="113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968EE"/>
    <w:multiLevelType w:val="hybridMultilevel"/>
    <w:tmpl w:val="6A84E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18"/>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7"/>
  </w:num>
  <w:num w:numId="18">
    <w:abstractNumId w:val="8"/>
  </w:num>
  <w:num w:numId="19">
    <w:abstractNumId w:val="4"/>
  </w:num>
  <w:num w:numId="20">
    <w:abstractNumId w:val="29"/>
  </w:num>
  <w:num w:numId="21">
    <w:abstractNumId w:val="12"/>
  </w:num>
  <w:num w:numId="22">
    <w:abstractNumId w:val="28"/>
  </w:num>
  <w:num w:numId="23">
    <w:abstractNumId w:val="14"/>
  </w:num>
  <w:num w:numId="24">
    <w:abstractNumId w:val="27"/>
  </w:num>
  <w:num w:numId="25">
    <w:abstractNumId w:val="19"/>
  </w:num>
  <w:num w:numId="26">
    <w:abstractNumId w:val="13"/>
  </w:num>
  <w:num w:numId="27">
    <w:abstractNumId w:val="5"/>
  </w:num>
  <w:num w:numId="28">
    <w:abstractNumId w:val="24"/>
  </w:num>
  <w:num w:numId="29">
    <w:abstractNumId w:val="20"/>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BF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0B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74A"/>
    <w:rsid w:val="001219F5"/>
    <w:rsid w:val="00121A20"/>
    <w:rsid w:val="0012377F"/>
    <w:rsid w:val="00124314"/>
    <w:rsid w:val="00126B4A"/>
    <w:rsid w:val="00132FD0"/>
    <w:rsid w:val="001344C0"/>
    <w:rsid w:val="001346FA"/>
    <w:rsid w:val="00135252"/>
    <w:rsid w:val="00137AB5"/>
    <w:rsid w:val="00137F0B"/>
    <w:rsid w:val="00151E23"/>
    <w:rsid w:val="001526E0"/>
    <w:rsid w:val="00154471"/>
    <w:rsid w:val="001551B5"/>
    <w:rsid w:val="001659C1"/>
    <w:rsid w:val="00173A8E"/>
    <w:rsid w:val="0017502C"/>
    <w:rsid w:val="0018143F"/>
    <w:rsid w:val="00181FF8"/>
    <w:rsid w:val="00190AC1"/>
    <w:rsid w:val="0019341A"/>
    <w:rsid w:val="00195C17"/>
    <w:rsid w:val="00197DF9"/>
    <w:rsid w:val="001A1987"/>
    <w:rsid w:val="001A2564"/>
    <w:rsid w:val="001A6173"/>
    <w:rsid w:val="001A6CBA"/>
    <w:rsid w:val="001B0D97"/>
    <w:rsid w:val="001B5A5D"/>
    <w:rsid w:val="001C1CE5"/>
    <w:rsid w:val="001C3D2A"/>
    <w:rsid w:val="001C4A3B"/>
    <w:rsid w:val="001D51BA"/>
    <w:rsid w:val="001D53E7"/>
    <w:rsid w:val="001D6342"/>
    <w:rsid w:val="001D6D53"/>
    <w:rsid w:val="001E58E2"/>
    <w:rsid w:val="001E7AED"/>
    <w:rsid w:val="001F3916"/>
    <w:rsid w:val="001F54C5"/>
    <w:rsid w:val="001F662C"/>
    <w:rsid w:val="001F7074"/>
    <w:rsid w:val="00200490"/>
    <w:rsid w:val="00201982"/>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67E"/>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F96"/>
    <w:rsid w:val="003D109F"/>
    <w:rsid w:val="003D2478"/>
    <w:rsid w:val="003D3C45"/>
    <w:rsid w:val="003D5B1F"/>
    <w:rsid w:val="003E15FA"/>
    <w:rsid w:val="003E1A20"/>
    <w:rsid w:val="003E55E4"/>
    <w:rsid w:val="003E74E3"/>
    <w:rsid w:val="003F05C7"/>
    <w:rsid w:val="003F2CD4"/>
    <w:rsid w:val="003F6BBE"/>
    <w:rsid w:val="004000E8"/>
    <w:rsid w:val="00402E2B"/>
    <w:rsid w:val="0040512B"/>
    <w:rsid w:val="00405CA5"/>
    <w:rsid w:val="00407CD3"/>
    <w:rsid w:val="00410134"/>
    <w:rsid w:val="00410B72"/>
    <w:rsid w:val="00410F18"/>
    <w:rsid w:val="00411DEB"/>
    <w:rsid w:val="0041263E"/>
    <w:rsid w:val="00413AAC"/>
    <w:rsid w:val="00413E92"/>
    <w:rsid w:val="004202E4"/>
    <w:rsid w:val="00421105"/>
    <w:rsid w:val="004222D8"/>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2F96"/>
    <w:rsid w:val="004C3898"/>
    <w:rsid w:val="004D36B1"/>
    <w:rsid w:val="004D6276"/>
    <w:rsid w:val="004D7EBD"/>
    <w:rsid w:val="004E2680"/>
    <w:rsid w:val="004E28F9"/>
    <w:rsid w:val="004E462E"/>
    <w:rsid w:val="004E56DC"/>
    <w:rsid w:val="004E76F4"/>
    <w:rsid w:val="004F0B4E"/>
    <w:rsid w:val="004F0B6C"/>
    <w:rsid w:val="004F1B9B"/>
    <w:rsid w:val="004F2078"/>
    <w:rsid w:val="004F4DA3"/>
    <w:rsid w:val="00506557"/>
    <w:rsid w:val="0050677A"/>
    <w:rsid w:val="005108D8"/>
    <w:rsid w:val="005116F9"/>
    <w:rsid w:val="005153A7"/>
    <w:rsid w:val="005219CF"/>
    <w:rsid w:val="00534B59"/>
    <w:rsid w:val="00536759"/>
    <w:rsid w:val="00537C62"/>
    <w:rsid w:val="00546970"/>
    <w:rsid w:val="00554E19"/>
    <w:rsid w:val="00557356"/>
    <w:rsid w:val="0056121F"/>
    <w:rsid w:val="0056494B"/>
    <w:rsid w:val="00572505"/>
    <w:rsid w:val="00582809"/>
    <w:rsid w:val="0058798C"/>
    <w:rsid w:val="005900FA"/>
    <w:rsid w:val="005935A4"/>
    <w:rsid w:val="005948C2"/>
    <w:rsid w:val="00595DCA"/>
    <w:rsid w:val="0059779B"/>
    <w:rsid w:val="005A209A"/>
    <w:rsid w:val="005A306C"/>
    <w:rsid w:val="005A662D"/>
    <w:rsid w:val="005B1409"/>
    <w:rsid w:val="005B35D7"/>
    <w:rsid w:val="005B392A"/>
    <w:rsid w:val="005B3AA3"/>
    <w:rsid w:val="005B6F83"/>
    <w:rsid w:val="005C74FB"/>
    <w:rsid w:val="005D1602"/>
    <w:rsid w:val="005E27B1"/>
    <w:rsid w:val="005E385F"/>
    <w:rsid w:val="005E5B81"/>
    <w:rsid w:val="005F2CB1"/>
    <w:rsid w:val="005F3025"/>
    <w:rsid w:val="005F618C"/>
    <w:rsid w:val="005F70BD"/>
    <w:rsid w:val="0060283C"/>
    <w:rsid w:val="00604F14"/>
    <w:rsid w:val="00611B83"/>
    <w:rsid w:val="00613257"/>
    <w:rsid w:val="00620A71"/>
    <w:rsid w:val="00620D80"/>
    <w:rsid w:val="00622A56"/>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B48"/>
    <w:rsid w:val="0067218F"/>
    <w:rsid w:val="006741F2"/>
    <w:rsid w:val="00674CC3"/>
    <w:rsid w:val="00675C72"/>
    <w:rsid w:val="006771F9"/>
    <w:rsid w:val="006776D7"/>
    <w:rsid w:val="00681003"/>
    <w:rsid w:val="006817C9"/>
    <w:rsid w:val="00683ECE"/>
    <w:rsid w:val="00695FC2"/>
    <w:rsid w:val="00696949"/>
    <w:rsid w:val="00697052"/>
    <w:rsid w:val="006A0848"/>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E70"/>
    <w:rsid w:val="00704EDB"/>
    <w:rsid w:val="00706101"/>
    <w:rsid w:val="00707072"/>
    <w:rsid w:val="00707D61"/>
    <w:rsid w:val="00712287"/>
    <w:rsid w:val="00712772"/>
    <w:rsid w:val="007148D3"/>
    <w:rsid w:val="00715B9A"/>
    <w:rsid w:val="00721B32"/>
    <w:rsid w:val="007257D0"/>
    <w:rsid w:val="00726BD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568"/>
    <w:rsid w:val="007729A2"/>
    <w:rsid w:val="007755F2"/>
    <w:rsid w:val="00776506"/>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20EE"/>
    <w:rsid w:val="007D5901"/>
    <w:rsid w:val="007D7526"/>
    <w:rsid w:val="007E4610"/>
    <w:rsid w:val="007E4715"/>
    <w:rsid w:val="007E505B"/>
    <w:rsid w:val="007E7091"/>
    <w:rsid w:val="007F0711"/>
    <w:rsid w:val="00803FAE"/>
    <w:rsid w:val="0080605F"/>
    <w:rsid w:val="00807786"/>
    <w:rsid w:val="00811FCB"/>
    <w:rsid w:val="008158D6"/>
    <w:rsid w:val="00817196"/>
    <w:rsid w:val="008235DB"/>
    <w:rsid w:val="00824AB4"/>
    <w:rsid w:val="00825C42"/>
    <w:rsid w:val="00825D25"/>
    <w:rsid w:val="00827D6F"/>
    <w:rsid w:val="008376AC"/>
    <w:rsid w:val="0084285A"/>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62"/>
    <w:rsid w:val="008A2CE2"/>
    <w:rsid w:val="008A30AC"/>
    <w:rsid w:val="008A44B8"/>
    <w:rsid w:val="008A51A8"/>
    <w:rsid w:val="008A54C7"/>
    <w:rsid w:val="008A77D8"/>
    <w:rsid w:val="008B0483"/>
    <w:rsid w:val="008B120C"/>
    <w:rsid w:val="008B51A0"/>
    <w:rsid w:val="008B592A"/>
    <w:rsid w:val="008B6B8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CE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63E"/>
    <w:rsid w:val="0097603D"/>
    <w:rsid w:val="00976949"/>
    <w:rsid w:val="00980477"/>
    <w:rsid w:val="00985253"/>
    <w:rsid w:val="009853B3"/>
    <w:rsid w:val="00990630"/>
    <w:rsid w:val="00991761"/>
    <w:rsid w:val="00994DCA"/>
    <w:rsid w:val="0099551C"/>
    <w:rsid w:val="009960EC"/>
    <w:rsid w:val="009970DD"/>
    <w:rsid w:val="009A0FBA"/>
    <w:rsid w:val="009A1601"/>
    <w:rsid w:val="009A29ED"/>
    <w:rsid w:val="009A3BB6"/>
    <w:rsid w:val="009A462D"/>
    <w:rsid w:val="009A5CBA"/>
    <w:rsid w:val="009B1F30"/>
    <w:rsid w:val="009B3AC2"/>
    <w:rsid w:val="009B4DF4"/>
    <w:rsid w:val="009B564E"/>
    <w:rsid w:val="009B7E87"/>
    <w:rsid w:val="009C0169"/>
    <w:rsid w:val="009C403E"/>
    <w:rsid w:val="009D19AB"/>
    <w:rsid w:val="009D4FF0"/>
    <w:rsid w:val="009D703C"/>
    <w:rsid w:val="009D718F"/>
    <w:rsid w:val="009E068F"/>
    <w:rsid w:val="009E14E0"/>
    <w:rsid w:val="009E35DB"/>
    <w:rsid w:val="009E47A3"/>
    <w:rsid w:val="009F08F3"/>
    <w:rsid w:val="009F344F"/>
    <w:rsid w:val="00A031D8"/>
    <w:rsid w:val="00A048A8"/>
    <w:rsid w:val="00A04F49"/>
    <w:rsid w:val="00A13E54"/>
    <w:rsid w:val="00A16E44"/>
    <w:rsid w:val="00A17F63"/>
    <w:rsid w:val="00A2193B"/>
    <w:rsid w:val="00A2351A"/>
    <w:rsid w:val="00A264A9"/>
    <w:rsid w:val="00A26DCF"/>
    <w:rsid w:val="00A27785"/>
    <w:rsid w:val="00A30187"/>
    <w:rsid w:val="00A31E9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44D"/>
    <w:rsid w:val="00A9442A"/>
    <w:rsid w:val="00A96B9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7BF"/>
    <w:rsid w:val="00AE27AC"/>
    <w:rsid w:val="00AE40E0"/>
    <w:rsid w:val="00AE4DBA"/>
    <w:rsid w:val="00AE4F07"/>
    <w:rsid w:val="00AE6FA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97311"/>
    <w:rsid w:val="00BA2280"/>
    <w:rsid w:val="00BA2A08"/>
    <w:rsid w:val="00BA4DA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B0E"/>
    <w:rsid w:val="00C14D4B"/>
    <w:rsid w:val="00C154BB"/>
    <w:rsid w:val="00C279B5"/>
    <w:rsid w:val="00C27C45"/>
    <w:rsid w:val="00C324E4"/>
    <w:rsid w:val="00C3719D"/>
    <w:rsid w:val="00C37CB2"/>
    <w:rsid w:val="00C41442"/>
    <w:rsid w:val="00C473A5"/>
    <w:rsid w:val="00C54995"/>
    <w:rsid w:val="00C54D41"/>
    <w:rsid w:val="00C57340"/>
    <w:rsid w:val="00C60783"/>
    <w:rsid w:val="00C616DF"/>
    <w:rsid w:val="00C64672"/>
    <w:rsid w:val="00C67DA5"/>
    <w:rsid w:val="00C70697"/>
    <w:rsid w:val="00C71597"/>
    <w:rsid w:val="00C72093"/>
    <w:rsid w:val="00C72EF4"/>
    <w:rsid w:val="00C744FE"/>
    <w:rsid w:val="00C75D2F"/>
    <w:rsid w:val="00C767BE"/>
    <w:rsid w:val="00C76E3C"/>
    <w:rsid w:val="00C81568"/>
    <w:rsid w:val="00C853CE"/>
    <w:rsid w:val="00C9027A"/>
    <w:rsid w:val="00C9068E"/>
    <w:rsid w:val="00C92F83"/>
    <w:rsid w:val="00C93814"/>
    <w:rsid w:val="00C93990"/>
    <w:rsid w:val="00C93C4B"/>
    <w:rsid w:val="00C944AB"/>
    <w:rsid w:val="00C95B40"/>
    <w:rsid w:val="00CA1ED8"/>
    <w:rsid w:val="00CB1F63"/>
    <w:rsid w:val="00CB5BDD"/>
    <w:rsid w:val="00CB7170"/>
    <w:rsid w:val="00CC040E"/>
    <w:rsid w:val="00CC111F"/>
    <w:rsid w:val="00CC2011"/>
    <w:rsid w:val="00CC32DF"/>
    <w:rsid w:val="00CC3EA0"/>
    <w:rsid w:val="00CC5F61"/>
    <w:rsid w:val="00CC7B45"/>
    <w:rsid w:val="00CD1188"/>
    <w:rsid w:val="00CD2ED1"/>
    <w:rsid w:val="00CD337B"/>
    <w:rsid w:val="00CE0424"/>
    <w:rsid w:val="00CE2E4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943"/>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E95"/>
    <w:rsid w:val="00DF0B6E"/>
    <w:rsid w:val="00DF15E0"/>
    <w:rsid w:val="00DF37A0"/>
    <w:rsid w:val="00E110E7"/>
    <w:rsid w:val="00E11B20"/>
    <w:rsid w:val="00E17FA2"/>
    <w:rsid w:val="00E22330"/>
    <w:rsid w:val="00E30B5A"/>
    <w:rsid w:val="00E3123D"/>
    <w:rsid w:val="00E31461"/>
    <w:rsid w:val="00E31D43"/>
    <w:rsid w:val="00E321E1"/>
    <w:rsid w:val="00E32608"/>
    <w:rsid w:val="00E32BE7"/>
    <w:rsid w:val="00E34188"/>
    <w:rsid w:val="00E34B6E"/>
    <w:rsid w:val="00E35559"/>
    <w:rsid w:val="00E3723A"/>
    <w:rsid w:val="00E37860"/>
    <w:rsid w:val="00E446F1"/>
    <w:rsid w:val="00E46886"/>
    <w:rsid w:val="00E47AEF"/>
    <w:rsid w:val="00E53B75"/>
    <w:rsid w:val="00E54E3B"/>
    <w:rsid w:val="00E57565"/>
    <w:rsid w:val="00E60E85"/>
    <w:rsid w:val="00E63838"/>
    <w:rsid w:val="00E64434"/>
    <w:rsid w:val="00E66409"/>
    <w:rsid w:val="00E66E17"/>
    <w:rsid w:val="00E67C51"/>
    <w:rsid w:val="00E72EFC"/>
    <w:rsid w:val="00E758EC"/>
    <w:rsid w:val="00E8234C"/>
    <w:rsid w:val="00E83AA9"/>
    <w:rsid w:val="00E85928"/>
    <w:rsid w:val="00E87822"/>
    <w:rsid w:val="00E90395"/>
    <w:rsid w:val="00E90E49"/>
    <w:rsid w:val="00E911D5"/>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018"/>
    <w:rsid w:val="00F804BE"/>
    <w:rsid w:val="00F817CE"/>
    <w:rsid w:val="00F8195C"/>
    <w:rsid w:val="00F8456C"/>
    <w:rsid w:val="00F859D8"/>
    <w:rsid w:val="00F868F5"/>
    <w:rsid w:val="00F9056A"/>
    <w:rsid w:val="00F90F8D"/>
    <w:rsid w:val="00F92782"/>
    <w:rsid w:val="00F9375E"/>
    <w:rsid w:val="00F93AA9"/>
    <w:rsid w:val="00F96985"/>
    <w:rsid w:val="00F97838"/>
    <w:rsid w:val="00FA2BB3"/>
    <w:rsid w:val="00FB0204"/>
    <w:rsid w:val="00FB4C80"/>
    <w:rsid w:val="00FB6A6A"/>
    <w:rsid w:val="00FC7429"/>
    <w:rsid w:val="00FD07F6"/>
    <w:rsid w:val="00FD1EC8"/>
    <w:rsid w:val="00FD44C0"/>
    <w:rsid w:val="00FD47ED"/>
    <w:rsid w:val="00FD74DB"/>
    <w:rsid w:val="00FD7660"/>
    <w:rsid w:val="00FE0655"/>
    <w:rsid w:val="00FE0DD8"/>
    <w:rsid w:val="00FE2365"/>
    <w:rsid w:val="00FE37D7"/>
    <w:rsid w:val="00FE4C7B"/>
    <w:rsid w:val="00FE594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8991D5A-3D8E-4CD0-A291-32DC8ABD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6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FD3BC8D-CC30-4A00-9667-5383A4376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14471</CharactersWithSpaces>
  <SharedDoc>false</SharedDoc>
  <HLinks>
    <vt:vector size="42" baseType="variant">
      <vt:variant>
        <vt:i4>2031672</vt:i4>
      </vt:variant>
      <vt:variant>
        <vt:i4>29</vt:i4>
      </vt:variant>
      <vt:variant>
        <vt:i4>0</vt:i4>
      </vt:variant>
      <vt:variant>
        <vt:i4>5</vt:i4>
      </vt:variant>
      <vt:variant>
        <vt:lpwstr/>
      </vt:variant>
      <vt:variant>
        <vt:lpwstr>_Toc95732947</vt:lpwstr>
      </vt:variant>
      <vt:variant>
        <vt:i4>1966136</vt:i4>
      </vt:variant>
      <vt:variant>
        <vt:i4>26</vt:i4>
      </vt:variant>
      <vt:variant>
        <vt:i4>0</vt:i4>
      </vt:variant>
      <vt:variant>
        <vt:i4>5</vt:i4>
      </vt:variant>
      <vt:variant>
        <vt:lpwstr/>
      </vt:variant>
      <vt:variant>
        <vt:lpwstr>_Toc95732946</vt:lpwstr>
      </vt:variant>
      <vt:variant>
        <vt:i4>1900600</vt:i4>
      </vt:variant>
      <vt:variant>
        <vt:i4>23</vt:i4>
      </vt:variant>
      <vt:variant>
        <vt:i4>0</vt:i4>
      </vt:variant>
      <vt:variant>
        <vt:i4>5</vt:i4>
      </vt:variant>
      <vt:variant>
        <vt:lpwstr/>
      </vt:variant>
      <vt:variant>
        <vt:lpwstr>_Toc95732945</vt:lpwstr>
      </vt:variant>
      <vt:variant>
        <vt:i4>1835064</vt:i4>
      </vt:variant>
      <vt:variant>
        <vt:i4>20</vt:i4>
      </vt:variant>
      <vt:variant>
        <vt:i4>0</vt:i4>
      </vt:variant>
      <vt:variant>
        <vt:i4>5</vt:i4>
      </vt:variant>
      <vt:variant>
        <vt:lpwstr/>
      </vt:variant>
      <vt:variant>
        <vt:lpwstr>_Toc95732944</vt:lpwstr>
      </vt:variant>
      <vt:variant>
        <vt:i4>1769528</vt:i4>
      </vt:variant>
      <vt:variant>
        <vt:i4>17</vt:i4>
      </vt:variant>
      <vt:variant>
        <vt:i4>0</vt:i4>
      </vt:variant>
      <vt:variant>
        <vt:i4>5</vt:i4>
      </vt:variant>
      <vt:variant>
        <vt:lpwstr/>
      </vt:variant>
      <vt:variant>
        <vt:lpwstr>_Toc95732943</vt:lpwstr>
      </vt:variant>
      <vt:variant>
        <vt:i4>1703992</vt:i4>
      </vt:variant>
      <vt:variant>
        <vt:i4>14</vt:i4>
      </vt:variant>
      <vt:variant>
        <vt:i4>0</vt:i4>
      </vt:variant>
      <vt:variant>
        <vt:i4>5</vt:i4>
      </vt:variant>
      <vt:variant>
        <vt:lpwstr/>
      </vt:variant>
      <vt:variant>
        <vt:lpwstr>_Toc95732942</vt:lpwstr>
      </vt:variant>
      <vt:variant>
        <vt:i4>1638456</vt:i4>
      </vt:variant>
      <vt:variant>
        <vt:i4>11</vt:i4>
      </vt:variant>
      <vt:variant>
        <vt:i4>0</vt:i4>
      </vt:variant>
      <vt:variant>
        <vt:i4>5</vt:i4>
      </vt:variant>
      <vt:variant>
        <vt:lpwstr/>
      </vt:variant>
      <vt:variant>
        <vt:lpwstr>_Toc95732941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Mattias Frenne</cp:lastModifiedBy>
  <cp:revision>41</cp:revision>
  <cp:lastPrinted>2008-01-31T10:09:00Z</cp:lastPrinted>
  <dcterms:created xsi:type="dcterms:W3CDTF">2022-02-11T15:13:00Z</dcterms:created>
  <dcterms:modified xsi:type="dcterms:W3CDTF">2022-02-14T18:42:00Z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